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05545" w14:textId="0C081B8A" w:rsidR="006E06A0" w:rsidRPr="002202F9" w:rsidRDefault="006E06A0" w:rsidP="00EA4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02EE5" w14:textId="122624CC" w:rsidR="00BB47FB" w:rsidRPr="002202F9" w:rsidRDefault="00BB47FB" w:rsidP="00EA4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EA29D" w14:textId="03DD48D0" w:rsidR="00BB47FB" w:rsidRPr="002202F9" w:rsidRDefault="00BB47FB" w:rsidP="00EA4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B5B2E" w14:textId="17CA0EBE" w:rsidR="00BB47FB" w:rsidRPr="002202F9" w:rsidRDefault="00BB47FB" w:rsidP="00EA4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6CA45" w14:textId="68C35D76" w:rsidR="00BB47FB" w:rsidRPr="002202F9" w:rsidRDefault="00BB47FB" w:rsidP="00EA4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02208" w14:textId="60745C68" w:rsidR="008C402B" w:rsidRPr="002202F9" w:rsidRDefault="00AA5A14" w:rsidP="00EA4C3B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202F9">
        <w:rPr>
          <w:rFonts w:ascii="Times New Roman" w:hAnsi="Times New Roman" w:cs="Times New Roman"/>
          <w:b/>
          <w:bCs/>
          <w:sz w:val="40"/>
          <w:szCs w:val="40"/>
        </w:rPr>
        <w:t>Procedura de Clearing</w:t>
      </w:r>
      <w:r w:rsidR="00F751FE" w:rsidRPr="002202F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2202F9">
        <w:rPr>
          <w:rFonts w:ascii="Times New Roman" w:hAnsi="Times New Roman" w:cs="Times New Roman"/>
          <w:b/>
          <w:bCs/>
          <w:sz w:val="40"/>
          <w:szCs w:val="40"/>
        </w:rPr>
        <w:t xml:space="preserve">pe </w:t>
      </w:r>
      <w:r w:rsidR="002E3637">
        <w:rPr>
          <w:rFonts w:ascii="Times New Roman" w:hAnsi="Times New Roman" w:cs="Times New Roman"/>
          <w:b/>
          <w:bCs/>
          <w:sz w:val="40"/>
          <w:szCs w:val="40"/>
        </w:rPr>
        <w:t>P</w:t>
      </w:r>
      <w:r w:rsidR="007300C5" w:rsidRPr="002202F9">
        <w:rPr>
          <w:rFonts w:ascii="Times New Roman" w:hAnsi="Times New Roman" w:cs="Times New Roman"/>
          <w:b/>
          <w:bCs/>
          <w:sz w:val="40"/>
          <w:szCs w:val="40"/>
        </w:rPr>
        <w:t xml:space="preserve">iața </w:t>
      </w:r>
      <w:r w:rsidR="00DF7C7A">
        <w:rPr>
          <w:rFonts w:ascii="Times New Roman" w:hAnsi="Times New Roman" w:cs="Times New Roman"/>
          <w:b/>
          <w:bCs/>
          <w:sz w:val="40"/>
          <w:szCs w:val="40"/>
        </w:rPr>
        <w:t>pentru Ziua Următoare</w:t>
      </w:r>
    </w:p>
    <w:p w14:paraId="7A740906" w14:textId="68B9119B" w:rsidR="008C402B" w:rsidRPr="002202F9" w:rsidRDefault="004C107E" w:rsidP="00EA4C3B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202F9">
        <w:rPr>
          <w:rFonts w:ascii="Times New Roman" w:hAnsi="Times New Roman" w:cs="Times New Roman"/>
          <w:b/>
          <w:bCs/>
          <w:sz w:val="40"/>
          <w:szCs w:val="40"/>
        </w:rPr>
        <w:t xml:space="preserve">de </w:t>
      </w:r>
      <w:r w:rsidR="002E3637">
        <w:rPr>
          <w:rFonts w:ascii="Times New Roman" w:hAnsi="Times New Roman" w:cs="Times New Roman"/>
          <w:b/>
          <w:bCs/>
          <w:sz w:val="40"/>
          <w:szCs w:val="40"/>
        </w:rPr>
        <w:t>E</w:t>
      </w:r>
      <w:r w:rsidRPr="002202F9">
        <w:rPr>
          <w:rFonts w:ascii="Times New Roman" w:hAnsi="Times New Roman" w:cs="Times New Roman"/>
          <w:b/>
          <w:bCs/>
          <w:sz w:val="40"/>
          <w:szCs w:val="40"/>
        </w:rPr>
        <w:t xml:space="preserve">nergie </w:t>
      </w:r>
      <w:r w:rsidR="002E3637">
        <w:rPr>
          <w:rFonts w:ascii="Times New Roman" w:hAnsi="Times New Roman" w:cs="Times New Roman"/>
          <w:b/>
          <w:bCs/>
          <w:sz w:val="40"/>
          <w:szCs w:val="40"/>
        </w:rPr>
        <w:t>E</w:t>
      </w:r>
      <w:r w:rsidRPr="002202F9">
        <w:rPr>
          <w:rFonts w:ascii="Times New Roman" w:hAnsi="Times New Roman" w:cs="Times New Roman"/>
          <w:b/>
          <w:bCs/>
          <w:sz w:val="40"/>
          <w:szCs w:val="40"/>
        </w:rPr>
        <w:t>lectric</w:t>
      </w:r>
      <w:r w:rsidR="002E3637">
        <w:rPr>
          <w:rFonts w:ascii="Times New Roman" w:hAnsi="Times New Roman" w:cs="Times New Roman"/>
          <w:b/>
          <w:bCs/>
          <w:sz w:val="40"/>
          <w:szCs w:val="40"/>
        </w:rPr>
        <w:t>ă</w:t>
      </w:r>
    </w:p>
    <w:p w14:paraId="183E9BD1" w14:textId="7B2ED029" w:rsidR="00BB47FB" w:rsidRPr="002202F9" w:rsidRDefault="008C402B" w:rsidP="00EA4C3B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202F9">
        <w:rPr>
          <w:rFonts w:ascii="Times New Roman" w:hAnsi="Times New Roman" w:cs="Times New Roman"/>
          <w:b/>
          <w:bCs/>
          <w:sz w:val="40"/>
          <w:szCs w:val="40"/>
        </w:rPr>
        <w:t xml:space="preserve">a Bursei </w:t>
      </w:r>
      <w:r w:rsidR="002E3637" w:rsidRPr="002202F9">
        <w:rPr>
          <w:rFonts w:ascii="Times New Roman" w:hAnsi="Times New Roman" w:cs="Times New Roman"/>
          <w:b/>
          <w:bCs/>
          <w:sz w:val="40"/>
          <w:szCs w:val="40"/>
        </w:rPr>
        <w:t>Rom</w:t>
      </w:r>
      <w:r w:rsidR="002E3637">
        <w:rPr>
          <w:rFonts w:ascii="Times New Roman" w:hAnsi="Times New Roman" w:cs="Times New Roman"/>
          <w:b/>
          <w:bCs/>
          <w:sz w:val="40"/>
          <w:szCs w:val="40"/>
        </w:rPr>
        <w:t>â</w:t>
      </w:r>
      <w:r w:rsidR="002E3637" w:rsidRPr="002202F9">
        <w:rPr>
          <w:rFonts w:ascii="Times New Roman" w:hAnsi="Times New Roman" w:cs="Times New Roman"/>
          <w:b/>
          <w:bCs/>
          <w:sz w:val="40"/>
          <w:szCs w:val="40"/>
        </w:rPr>
        <w:t xml:space="preserve">ne </w:t>
      </w:r>
      <w:r w:rsidRPr="002202F9">
        <w:rPr>
          <w:rFonts w:ascii="Times New Roman" w:hAnsi="Times New Roman" w:cs="Times New Roman"/>
          <w:b/>
          <w:bCs/>
          <w:sz w:val="40"/>
          <w:szCs w:val="40"/>
        </w:rPr>
        <w:t>de M</w:t>
      </w:r>
      <w:r w:rsidR="002E3637">
        <w:rPr>
          <w:rFonts w:ascii="Times New Roman" w:hAnsi="Times New Roman" w:cs="Times New Roman"/>
          <w:b/>
          <w:bCs/>
          <w:sz w:val="40"/>
          <w:szCs w:val="40"/>
        </w:rPr>
        <w:t>ă</w:t>
      </w:r>
      <w:r w:rsidRPr="002202F9">
        <w:rPr>
          <w:rFonts w:ascii="Times New Roman" w:hAnsi="Times New Roman" w:cs="Times New Roman"/>
          <w:b/>
          <w:bCs/>
          <w:sz w:val="40"/>
          <w:szCs w:val="40"/>
        </w:rPr>
        <w:t xml:space="preserve">rfuri S.A.  în calitate de Contraparte </w:t>
      </w:r>
      <w:r w:rsidR="002E3637" w:rsidRPr="002202F9">
        <w:rPr>
          <w:rFonts w:ascii="Times New Roman" w:hAnsi="Times New Roman" w:cs="Times New Roman"/>
          <w:b/>
          <w:bCs/>
          <w:sz w:val="40"/>
          <w:szCs w:val="40"/>
        </w:rPr>
        <w:t>Central</w:t>
      </w:r>
      <w:r w:rsidR="002E3637">
        <w:rPr>
          <w:rFonts w:ascii="Times New Roman" w:hAnsi="Times New Roman" w:cs="Times New Roman"/>
          <w:b/>
          <w:bCs/>
          <w:sz w:val="40"/>
          <w:szCs w:val="40"/>
        </w:rPr>
        <w:t>ă</w:t>
      </w:r>
    </w:p>
    <w:p w14:paraId="3D81B101" w14:textId="5D05FEFC" w:rsidR="00BB47FB" w:rsidRPr="002202F9" w:rsidRDefault="00BB47FB" w:rsidP="00EA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233ED" w14:textId="5C3CDBCA" w:rsidR="00541351" w:rsidRPr="002202F9" w:rsidRDefault="00541351" w:rsidP="00EA4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D9D4C" w14:textId="4DF25DBC" w:rsidR="00BB47FB" w:rsidRPr="002202F9" w:rsidRDefault="00BB47FB" w:rsidP="00EA4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2CE9C" w14:textId="4CD16DDD" w:rsidR="00BB47FB" w:rsidRPr="002202F9" w:rsidRDefault="00BB47FB" w:rsidP="00EA4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09BB1" w14:textId="10119811" w:rsidR="00BB47FB" w:rsidRPr="002202F9" w:rsidRDefault="00BB47FB" w:rsidP="00EA4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37196" w14:textId="35293DD1" w:rsidR="00BB47FB" w:rsidRPr="002202F9" w:rsidRDefault="00BB47FB" w:rsidP="00EA4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548DB" w14:textId="3938A970" w:rsidR="00BB47FB" w:rsidRPr="002202F9" w:rsidRDefault="00BB47FB" w:rsidP="00EA4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90A26" w14:textId="34973330" w:rsidR="00BB47FB" w:rsidRPr="002202F9" w:rsidRDefault="00BB47FB" w:rsidP="00EA4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939B0C" w14:textId="64AFD055" w:rsidR="00BB47FB" w:rsidRPr="002202F9" w:rsidRDefault="00BB47FB" w:rsidP="00EA4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836D4" w14:textId="4CBC36B6" w:rsidR="00BB47FB" w:rsidRPr="002202F9" w:rsidRDefault="00BB47FB" w:rsidP="00EA4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BB9D5" w14:textId="067E254E" w:rsidR="00BB47FB" w:rsidRPr="002202F9" w:rsidRDefault="00BB47FB" w:rsidP="00EA4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679AD" w14:textId="77777777" w:rsidR="008C402B" w:rsidRPr="002202F9" w:rsidRDefault="008C402B" w:rsidP="00EA4C3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Theme="minorHAnsi" w:eastAsiaTheme="minorHAnsi" w:hAnsiTheme="minorHAnsi" w:cs="Times New Roman"/>
          <w:b w:val="0"/>
          <w:color w:val="auto"/>
          <w:sz w:val="24"/>
          <w:szCs w:val="24"/>
          <w:lang w:val="ro-RO"/>
        </w:rPr>
        <w:id w:val="192784455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0864E3D" w14:textId="77777777" w:rsidR="007C1BF2" w:rsidRPr="00C961E0" w:rsidRDefault="007C1BF2" w:rsidP="00EA4C3B">
          <w:pPr>
            <w:pStyle w:val="TOCHeading"/>
            <w:spacing w:line="360" w:lineRule="auto"/>
            <w:jc w:val="both"/>
            <w:rPr>
              <w:rFonts w:cs="Times New Roman"/>
              <w:color w:val="auto"/>
              <w:lang w:val="ro-RO"/>
            </w:rPr>
          </w:pPr>
          <w:r w:rsidRPr="00C961E0">
            <w:rPr>
              <w:rFonts w:cs="Times New Roman"/>
              <w:color w:val="auto"/>
              <w:lang w:val="ro-RO"/>
            </w:rPr>
            <w:t>CUPRINS</w:t>
          </w:r>
        </w:p>
        <w:p w14:paraId="3B742F82" w14:textId="77777777" w:rsidR="007C1BF2" w:rsidRPr="002202F9" w:rsidRDefault="007C1BF2" w:rsidP="00EA4C3B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6B07CFF" w14:textId="1EDD2AF8" w:rsidR="00131393" w:rsidRDefault="007C1BF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US"/>
              <w14:ligatures w14:val="standardContextual"/>
            </w:rPr>
          </w:pPr>
          <w:r w:rsidRPr="00C961E0">
            <w:rPr>
              <w:noProof w:val="0"/>
            </w:rPr>
            <w:fldChar w:fldCharType="begin"/>
          </w:r>
          <w:r w:rsidRPr="00C961E0">
            <w:rPr>
              <w:noProof w:val="0"/>
            </w:rPr>
            <w:instrText xml:space="preserve"> TOC \o "1-3" \h \z \u </w:instrText>
          </w:r>
          <w:r w:rsidRPr="00C961E0">
            <w:rPr>
              <w:noProof w:val="0"/>
            </w:rPr>
            <w:fldChar w:fldCharType="separate"/>
          </w:r>
          <w:hyperlink w:anchor="_Toc163211426" w:history="1">
            <w:r w:rsidR="00131393" w:rsidRPr="00F334FB">
              <w:rPr>
                <w:rStyle w:val="Hyperlink"/>
              </w:rPr>
              <w:t>1.</w:t>
            </w:r>
            <w:r w:rsidR="00131393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131393" w:rsidRPr="00F334FB">
              <w:rPr>
                <w:rStyle w:val="Hyperlink"/>
              </w:rPr>
              <w:t>Scop</w:t>
            </w:r>
            <w:r w:rsidR="00131393">
              <w:rPr>
                <w:webHidden/>
              </w:rPr>
              <w:tab/>
            </w:r>
            <w:r w:rsidR="00131393">
              <w:rPr>
                <w:webHidden/>
              </w:rPr>
              <w:fldChar w:fldCharType="begin"/>
            </w:r>
            <w:r w:rsidR="00131393">
              <w:rPr>
                <w:webHidden/>
              </w:rPr>
              <w:instrText xml:space="preserve"> PAGEREF _Toc163211426 \h </w:instrText>
            </w:r>
            <w:r w:rsidR="00131393">
              <w:rPr>
                <w:webHidden/>
              </w:rPr>
            </w:r>
            <w:r w:rsidR="00131393">
              <w:rPr>
                <w:webHidden/>
              </w:rPr>
              <w:fldChar w:fldCharType="separate"/>
            </w:r>
            <w:r w:rsidR="00131393">
              <w:rPr>
                <w:webHidden/>
              </w:rPr>
              <w:t>3</w:t>
            </w:r>
            <w:r w:rsidR="00131393">
              <w:rPr>
                <w:webHidden/>
              </w:rPr>
              <w:fldChar w:fldCharType="end"/>
            </w:r>
          </w:hyperlink>
        </w:p>
        <w:p w14:paraId="2BB8264B" w14:textId="0014EF9C" w:rsidR="00131393" w:rsidRDefault="001313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63211427" w:history="1">
            <w:r w:rsidRPr="00F334FB">
              <w:rPr>
                <w:rStyle w:val="Hyperlink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Pr="00F334FB">
              <w:rPr>
                <w:rStyle w:val="Hyperlink"/>
              </w:rPr>
              <w:t>Abrevieri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_Toc163211427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2A1D50D" w14:textId="3B554BC4" w:rsidR="00131393" w:rsidRDefault="001313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63211428" w:history="1">
            <w:r w:rsidRPr="00F334FB">
              <w:rPr>
                <w:rStyle w:val="Hyperlink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Pr="00F334FB">
              <w:rPr>
                <w:rStyle w:val="Hyperlink"/>
              </w:rPr>
              <w:t>Definiții si termeni utilizați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_Toc163211428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25772A57" w14:textId="151CC04B" w:rsidR="00131393" w:rsidRDefault="001313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63211429" w:history="1">
            <w:r w:rsidRPr="00F334FB">
              <w:rPr>
                <w:rStyle w:val="Hyperlink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Pr="00F334FB">
              <w:rPr>
                <w:rStyle w:val="Hyperlink"/>
              </w:rPr>
              <w:t>Condiții generale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_Toc163211429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7A0248B" w14:textId="35E1B101" w:rsidR="00131393" w:rsidRDefault="001313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63211430" w:history="1">
            <w:r w:rsidRPr="00F334FB">
              <w:rPr>
                <w:rStyle w:val="Hyperlink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Pr="00F334FB">
              <w:rPr>
                <w:rStyle w:val="Hyperlink"/>
              </w:rPr>
              <w:t>Drepturile BRM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_Toc163211430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5A6D9A4" w14:textId="147456F1" w:rsidR="00131393" w:rsidRDefault="001313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63211431" w:history="1">
            <w:r w:rsidRPr="00F334FB">
              <w:rPr>
                <w:rStyle w:val="Hyperlink"/>
              </w:rPr>
              <w:t>6.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Pr="00F334FB">
              <w:rPr>
                <w:rStyle w:val="Hyperlink"/>
              </w:rPr>
              <w:t>Obligațiile BRM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_Toc163211431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CF826B1" w14:textId="50BD7093" w:rsidR="00131393" w:rsidRDefault="001313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63211432" w:history="1">
            <w:r w:rsidRPr="00F334FB">
              <w:rPr>
                <w:rStyle w:val="Hyperlink"/>
              </w:rPr>
              <w:t>7.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Pr="00F334FB">
              <w:rPr>
                <w:rStyle w:val="Hyperlink"/>
              </w:rPr>
              <w:t>Drepturile participantului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_Toc163211432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6F14466" w14:textId="6D38DC86" w:rsidR="00131393" w:rsidRDefault="001313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63211433" w:history="1">
            <w:r w:rsidRPr="00F334FB">
              <w:rPr>
                <w:rStyle w:val="Hyperlink"/>
              </w:rPr>
              <w:t>8.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Pr="00F334FB">
              <w:rPr>
                <w:rStyle w:val="Hyperlink"/>
              </w:rPr>
              <w:t>Obligațiile participantului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_Toc163211433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0D9A656" w14:textId="77EDFCDF" w:rsidR="00131393" w:rsidRDefault="001313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63211434" w:history="1">
            <w:r w:rsidRPr="00F334FB">
              <w:rPr>
                <w:rStyle w:val="Hyperlink"/>
              </w:rPr>
              <w:t>9.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Pr="00F334FB">
              <w:rPr>
                <w:rStyle w:val="Hyperlink"/>
              </w:rPr>
              <w:t>Procesul de decontare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_Toc163211434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68CF34AA" w14:textId="3B892453" w:rsidR="00131393" w:rsidRDefault="001313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63211435" w:history="1">
            <w:r w:rsidRPr="00F334FB">
              <w:rPr>
                <w:rStyle w:val="Hyperlink"/>
              </w:rPr>
              <w:t>10.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Pr="00F334FB">
              <w:rPr>
                <w:rStyle w:val="Hyperlink"/>
              </w:rPr>
              <w:t>Garantarea tranzacţiilor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_Toc163211435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70244EAC" w14:textId="4114AE67" w:rsidR="00131393" w:rsidRDefault="001313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63211436" w:history="1">
            <w:r w:rsidRPr="00F334FB">
              <w:rPr>
                <w:rStyle w:val="Hyperlink"/>
              </w:rPr>
              <w:t>11.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Pr="00F334FB">
              <w:rPr>
                <w:rStyle w:val="Hyperlink"/>
              </w:rPr>
              <w:t>Calculul garanţiei disponibile şi a limitei de tranzacţionare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_Toc163211436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3BEB126C" w14:textId="1F87581E" w:rsidR="00131393" w:rsidRDefault="00131393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63211437" w:history="1">
            <w:r w:rsidRPr="00F334FB">
              <w:rPr>
                <w:rStyle w:val="Hyperlink"/>
                <w:i/>
                <w:iCs/>
              </w:rPr>
              <w:t>Anexa 1- Nota Zilnică de Decontare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_Toc163211437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3A071C6" w14:textId="442E8F7A" w:rsidR="007C1BF2" w:rsidRPr="00C961E0" w:rsidRDefault="007C1BF2" w:rsidP="00EA4C3B">
          <w:pPr>
            <w:spacing w:line="360" w:lineRule="auto"/>
            <w:jc w:val="both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C961E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0BB86E5" w14:textId="4532D79B" w:rsidR="001C4606" w:rsidRPr="002202F9" w:rsidRDefault="001C4606" w:rsidP="00EA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63C09" w14:textId="36DEA8A0" w:rsidR="001C4606" w:rsidRDefault="001C4606" w:rsidP="00EA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911E0" w14:textId="77777777" w:rsidR="00D7679B" w:rsidRDefault="00D7679B" w:rsidP="00EA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56263" w14:textId="77777777" w:rsidR="00D7679B" w:rsidRDefault="00D7679B" w:rsidP="00EA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2F44E" w14:textId="77777777" w:rsidR="00D7679B" w:rsidRDefault="00D7679B" w:rsidP="00EA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B5D50" w14:textId="77777777" w:rsidR="00D7679B" w:rsidRDefault="00D7679B" w:rsidP="00EA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C87D0C" w14:textId="77777777" w:rsidR="00D7679B" w:rsidRPr="002202F9" w:rsidRDefault="00D7679B" w:rsidP="00EA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7E52F" w14:textId="3F1FF47F" w:rsidR="00B37760" w:rsidRPr="002202F9" w:rsidRDefault="00B37760" w:rsidP="00EA4C3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CB4EC" w14:textId="5B181D73" w:rsidR="00B37760" w:rsidRPr="002202F9" w:rsidRDefault="00B37760" w:rsidP="00C961E0">
      <w:pPr>
        <w:pStyle w:val="Heading1"/>
        <w:numPr>
          <w:ilvl w:val="0"/>
          <w:numId w:val="32"/>
        </w:numPr>
        <w:ind w:left="360"/>
        <w:rPr>
          <w:bCs/>
        </w:rPr>
      </w:pPr>
      <w:bookmarkStart w:id="0" w:name="_Toc163209711"/>
      <w:bookmarkStart w:id="1" w:name="_Toc163209712"/>
      <w:bookmarkStart w:id="2" w:name="_Toc163209713"/>
      <w:bookmarkStart w:id="3" w:name="_Toc163209714"/>
      <w:bookmarkStart w:id="4" w:name="_Toc163211426"/>
      <w:bookmarkEnd w:id="0"/>
      <w:bookmarkEnd w:id="1"/>
      <w:bookmarkEnd w:id="2"/>
      <w:bookmarkEnd w:id="3"/>
      <w:r w:rsidRPr="002202F9">
        <w:rPr>
          <w:bCs/>
        </w:rPr>
        <w:lastRenderedPageBreak/>
        <w:t>S</w:t>
      </w:r>
      <w:r w:rsidR="00C36631" w:rsidRPr="002202F9">
        <w:rPr>
          <w:bCs/>
        </w:rPr>
        <w:t>cop</w:t>
      </w:r>
      <w:bookmarkEnd w:id="4"/>
    </w:p>
    <w:p w14:paraId="26D2D26B" w14:textId="2B809421" w:rsidR="00C36631" w:rsidRPr="002202F9" w:rsidRDefault="002202F9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Procedură specifică modul de organizare și operare a decontării, compensării, garantării și facturării tranzacțiilor unui Participant încheiate pe Piața </w:t>
      </w:r>
      <w:r w:rsidR="00DF7C7A">
        <w:rPr>
          <w:rFonts w:ascii="Times New Roman" w:hAnsi="Times New Roman" w:cs="Times New Roman"/>
          <w:sz w:val="24"/>
          <w:szCs w:val="24"/>
        </w:rPr>
        <w:t>pentru Ziua Următoare</w:t>
      </w:r>
      <w:r w:rsidR="00DF7C7A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Pr="002202F9">
        <w:rPr>
          <w:rFonts w:ascii="Times New Roman" w:hAnsi="Times New Roman" w:cs="Times New Roman"/>
          <w:sz w:val="24"/>
          <w:szCs w:val="24"/>
        </w:rPr>
        <w:t>(</w:t>
      </w:r>
      <w:r w:rsidR="00DF7C7A" w:rsidRPr="002202F9">
        <w:rPr>
          <w:rFonts w:ascii="Times New Roman" w:hAnsi="Times New Roman" w:cs="Times New Roman"/>
          <w:sz w:val="24"/>
          <w:szCs w:val="24"/>
        </w:rPr>
        <w:t>P</w:t>
      </w:r>
      <w:r w:rsidR="00DF7C7A">
        <w:rPr>
          <w:rFonts w:ascii="Times New Roman" w:hAnsi="Times New Roman" w:cs="Times New Roman"/>
          <w:sz w:val="24"/>
          <w:szCs w:val="24"/>
        </w:rPr>
        <w:t>ZU</w:t>
      </w:r>
      <w:r w:rsidRPr="002202F9">
        <w:rPr>
          <w:rFonts w:ascii="Times New Roman" w:hAnsi="Times New Roman" w:cs="Times New Roman"/>
          <w:sz w:val="24"/>
          <w:szCs w:val="24"/>
        </w:rPr>
        <w:t>) de Energie Electrică operată de BRM</w:t>
      </w:r>
      <w:r w:rsidR="009C554F" w:rsidRPr="002202F9">
        <w:rPr>
          <w:rFonts w:ascii="Times New Roman" w:hAnsi="Times New Roman" w:cs="Times New Roman"/>
          <w:sz w:val="24"/>
          <w:szCs w:val="24"/>
        </w:rPr>
        <w:t xml:space="preserve">. </w:t>
      </w:r>
      <w:r w:rsidR="00BE7E14" w:rsidRPr="00220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D9483" w14:textId="1556D131" w:rsidR="00C871A6" w:rsidRPr="002202F9" w:rsidRDefault="00076178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Toate tranzacțiile încheiate pe platforma BRM pentru produsele aferente </w:t>
      </w:r>
      <w:r w:rsidR="00DF7C7A" w:rsidRPr="002202F9">
        <w:rPr>
          <w:rFonts w:ascii="Times New Roman" w:hAnsi="Times New Roman" w:cs="Times New Roman"/>
          <w:sz w:val="24"/>
          <w:szCs w:val="24"/>
        </w:rPr>
        <w:t>P</w:t>
      </w:r>
      <w:r w:rsidR="00DF7C7A">
        <w:rPr>
          <w:rFonts w:ascii="Times New Roman" w:hAnsi="Times New Roman" w:cs="Times New Roman"/>
          <w:sz w:val="24"/>
          <w:szCs w:val="24"/>
        </w:rPr>
        <w:t>ZU</w:t>
      </w:r>
      <w:r w:rsidR="00DF7C7A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Pr="002202F9">
        <w:rPr>
          <w:rFonts w:ascii="Times New Roman" w:hAnsi="Times New Roman" w:cs="Times New Roman"/>
          <w:sz w:val="24"/>
          <w:szCs w:val="24"/>
        </w:rPr>
        <w:t xml:space="preserve">sunt încheiate între participant și BRM în calitate de </w:t>
      </w:r>
      <w:r w:rsidR="001E7E71" w:rsidRPr="002202F9">
        <w:rPr>
          <w:rFonts w:ascii="Times New Roman" w:hAnsi="Times New Roman" w:cs="Times New Roman"/>
          <w:sz w:val="24"/>
          <w:szCs w:val="24"/>
        </w:rPr>
        <w:t>CCP</w:t>
      </w:r>
      <w:r w:rsidR="00D26CF9" w:rsidRPr="002202F9">
        <w:rPr>
          <w:rFonts w:ascii="Times New Roman" w:hAnsi="Times New Roman" w:cs="Times New Roman"/>
          <w:sz w:val="24"/>
          <w:szCs w:val="24"/>
        </w:rPr>
        <w:t>, iar relația financiară dintre acestea este guvernată de acest document.</w:t>
      </w:r>
    </w:p>
    <w:p w14:paraId="6CA394FB" w14:textId="77777777" w:rsidR="003A215C" w:rsidRPr="002202F9" w:rsidRDefault="003A215C" w:rsidP="00C961E0">
      <w:pPr>
        <w:pStyle w:val="ListParagraph"/>
        <w:spacing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1FD1C516" w14:textId="3E534E97" w:rsidR="00C36631" w:rsidRPr="00C30742" w:rsidRDefault="00C36631" w:rsidP="00C961E0">
      <w:pPr>
        <w:pStyle w:val="Heading1"/>
        <w:numPr>
          <w:ilvl w:val="0"/>
          <w:numId w:val="9"/>
        </w:numPr>
        <w:spacing w:before="0"/>
        <w:ind w:left="432" w:hanging="432"/>
        <w:rPr>
          <w:bCs/>
        </w:rPr>
      </w:pPr>
      <w:bookmarkStart w:id="5" w:name="_Toc163209716"/>
      <w:bookmarkStart w:id="6" w:name="_Toc163211427"/>
      <w:bookmarkEnd w:id="5"/>
      <w:r w:rsidRPr="00C30742">
        <w:rPr>
          <w:bCs/>
        </w:rPr>
        <w:t>Abrevieri</w:t>
      </w:r>
      <w:bookmarkEnd w:id="6"/>
    </w:p>
    <w:p w14:paraId="34044599" w14:textId="5F9547DA" w:rsidR="00673EC3" w:rsidRPr="002202F9" w:rsidRDefault="00EA0D63" w:rsidP="00C961E0">
      <w:pPr>
        <w:tabs>
          <w:tab w:val="left" w:pos="90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ANRE</w:t>
      </w:r>
      <w:r w:rsidR="00BD763C" w:rsidRPr="002202F9">
        <w:rPr>
          <w:rFonts w:ascii="Times New Roman" w:hAnsi="Times New Roman" w:cs="Times New Roman"/>
          <w:sz w:val="24"/>
          <w:szCs w:val="24"/>
        </w:rPr>
        <w:t xml:space="preserve"> - </w:t>
      </w:r>
      <w:r w:rsidRPr="002202F9">
        <w:rPr>
          <w:rFonts w:ascii="Times New Roman" w:hAnsi="Times New Roman" w:cs="Times New Roman"/>
          <w:sz w:val="24"/>
          <w:szCs w:val="24"/>
        </w:rPr>
        <w:t>Autoritatea Națională de Reglementare în domeniul Energiei</w:t>
      </w:r>
      <w:r w:rsidR="00C871A6" w:rsidRPr="002202F9">
        <w:rPr>
          <w:rFonts w:ascii="Times New Roman" w:hAnsi="Times New Roman" w:cs="Times New Roman"/>
          <w:sz w:val="24"/>
          <w:szCs w:val="24"/>
        </w:rPr>
        <w:t>.</w:t>
      </w:r>
    </w:p>
    <w:p w14:paraId="667E167C" w14:textId="7CF25E6B" w:rsidR="00616E1D" w:rsidRPr="002202F9" w:rsidRDefault="00616E1D" w:rsidP="00C961E0">
      <w:pPr>
        <w:tabs>
          <w:tab w:val="left" w:pos="90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BRM</w:t>
      </w:r>
      <w:r w:rsidR="008B0440" w:rsidRPr="002202F9">
        <w:rPr>
          <w:rFonts w:ascii="Times New Roman" w:hAnsi="Times New Roman" w:cs="Times New Roman"/>
          <w:sz w:val="24"/>
          <w:szCs w:val="24"/>
        </w:rPr>
        <w:t xml:space="preserve"> - </w:t>
      </w:r>
      <w:r w:rsidRPr="002202F9">
        <w:rPr>
          <w:rFonts w:ascii="Times New Roman" w:hAnsi="Times New Roman" w:cs="Times New Roman"/>
          <w:sz w:val="24"/>
          <w:szCs w:val="24"/>
        </w:rPr>
        <w:t>Bu</w:t>
      </w:r>
      <w:r w:rsidR="002202F9">
        <w:rPr>
          <w:rFonts w:ascii="Times New Roman" w:hAnsi="Times New Roman" w:cs="Times New Roman"/>
          <w:sz w:val="24"/>
          <w:szCs w:val="24"/>
        </w:rPr>
        <w:t>r</w:t>
      </w:r>
      <w:r w:rsidRPr="002202F9">
        <w:rPr>
          <w:rFonts w:ascii="Times New Roman" w:hAnsi="Times New Roman" w:cs="Times New Roman"/>
          <w:sz w:val="24"/>
          <w:szCs w:val="24"/>
        </w:rPr>
        <w:t xml:space="preserve">sa Română de Mărfuri </w:t>
      </w:r>
      <w:r w:rsidR="00E13B99" w:rsidRPr="002202F9">
        <w:rPr>
          <w:rFonts w:ascii="Times New Roman" w:hAnsi="Times New Roman" w:cs="Times New Roman"/>
          <w:sz w:val="24"/>
          <w:szCs w:val="24"/>
        </w:rPr>
        <w:t xml:space="preserve">(Romanian Commodities Exchange) </w:t>
      </w:r>
      <w:r w:rsidRPr="002202F9">
        <w:rPr>
          <w:rFonts w:ascii="Times New Roman" w:hAnsi="Times New Roman" w:cs="Times New Roman"/>
          <w:sz w:val="24"/>
          <w:szCs w:val="24"/>
        </w:rPr>
        <w:t>S.A.</w:t>
      </w:r>
      <w:r w:rsidR="00E13B99" w:rsidRPr="002202F9">
        <w:rPr>
          <w:rFonts w:ascii="Times New Roman" w:hAnsi="Times New Roman" w:cs="Times New Roman"/>
          <w:sz w:val="24"/>
          <w:szCs w:val="24"/>
        </w:rPr>
        <w:t xml:space="preserve">, având </w:t>
      </w:r>
      <w:r w:rsidR="008B0440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E13B99" w:rsidRPr="002202F9">
        <w:rPr>
          <w:rFonts w:ascii="Times New Roman" w:hAnsi="Times New Roman" w:cs="Times New Roman"/>
          <w:sz w:val="24"/>
          <w:szCs w:val="24"/>
        </w:rPr>
        <w:t>sediul</w:t>
      </w:r>
      <w:r w:rsidR="008B0440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E13B99" w:rsidRPr="002202F9">
        <w:rPr>
          <w:rFonts w:ascii="Times New Roman" w:hAnsi="Times New Roman" w:cs="Times New Roman"/>
          <w:sz w:val="24"/>
          <w:szCs w:val="24"/>
        </w:rPr>
        <w:t>social în București, Str. Buzești 82-94, etaj 7, Sector 1, Cod poștal 011017, Reg. Com. J40/19450/1992, CIF RO1562694</w:t>
      </w:r>
      <w:r w:rsidR="00C871A6" w:rsidRPr="002202F9">
        <w:rPr>
          <w:rFonts w:ascii="Times New Roman" w:hAnsi="Times New Roman" w:cs="Times New Roman"/>
          <w:sz w:val="24"/>
          <w:szCs w:val="24"/>
        </w:rPr>
        <w:t>.</w:t>
      </w:r>
    </w:p>
    <w:p w14:paraId="1F9BDB89" w14:textId="3D013F11" w:rsidR="0076639E" w:rsidRPr="002202F9" w:rsidRDefault="0076639E" w:rsidP="00C961E0">
      <w:pPr>
        <w:tabs>
          <w:tab w:val="left" w:pos="90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CCP </w:t>
      </w:r>
      <w:r w:rsidR="00BD763C" w:rsidRPr="002202F9">
        <w:rPr>
          <w:rFonts w:ascii="Times New Roman" w:hAnsi="Times New Roman" w:cs="Times New Roman"/>
          <w:sz w:val="24"/>
          <w:szCs w:val="24"/>
        </w:rPr>
        <w:t xml:space="preserve">- </w:t>
      </w:r>
      <w:r w:rsidRPr="002202F9">
        <w:rPr>
          <w:rFonts w:ascii="Times New Roman" w:hAnsi="Times New Roman" w:cs="Times New Roman"/>
          <w:sz w:val="24"/>
          <w:szCs w:val="24"/>
        </w:rPr>
        <w:t xml:space="preserve">BRM </w:t>
      </w:r>
      <w:r w:rsidR="00126265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 xml:space="preserve">n calitate de </w:t>
      </w:r>
      <w:r w:rsidR="002E3637">
        <w:rPr>
          <w:rFonts w:ascii="Times New Roman" w:hAnsi="Times New Roman" w:cs="Times New Roman"/>
          <w:sz w:val="24"/>
          <w:szCs w:val="24"/>
        </w:rPr>
        <w:t>C</w:t>
      </w:r>
      <w:r w:rsidRPr="002202F9">
        <w:rPr>
          <w:rFonts w:ascii="Times New Roman" w:hAnsi="Times New Roman" w:cs="Times New Roman"/>
          <w:sz w:val="24"/>
          <w:szCs w:val="24"/>
        </w:rPr>
        <w:t xml:space="preserve">ontraparte </w:t>
      </w:r>
      <w:r w:rsidR="002E3637">
        <w:rPr>
          <w:rFonts w:ascii="Times New Roman" w:hAnsi="Times New Roman" w:cs="Times New Roman"/>
          <w:sz w:val="24"/>
          <w:szCs w:val="24"/>
        </w:rPr>
        <w:t>C</w:t>
      </w:r>
      <w:r w:rsidR="001E7E71" w:rsidRPr="002202F9">
        <w:rPr>
          <w:rFonts w:ascii="Times New Roman" w:hAnsi="Times New Roman" w:cs="Times New Roman"/>
          <w:sz w:val="24"/>
          <w:szCs w:val="24"/>
        </w:rPr>
        <w:t>entral</w:t>
      </w:r>
      <w:r w:rsidR="002202F9" w:rsidRPr="002202F9">
        <w:rPr>
          <w:rFonts w:ascii="Times New Roman" w:hAnsi="Times New Roman" w:cs="Times New Roman"/>
          <w:sz w:val="24"/>
          <w:szCs w:val="24"/>
        </w:rPr>
        <w:t>ă</w:t>
      </w:r>
    </w:p>
    <w:p w14:paraId="55E9AB7A" w14:textId="6E46B5CB" w:rsidR="001E7E71" w:rsidRPr="002202F9" w:rsidRDefault="001E7E71" w:rsidP="00C961E0">
      <w:pPr>
        <w:tabs>
          <w:tab w:val="left" w:pos="90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IDD </w:t>
      </w:r>
      <w:r w:rsidR="00BD763C" w:rsidRPr="002202F9">
        <w:rPr>
          <w:rFonts w:ascii="Times New Roman" w:hAnsi="Times New Roman" w:cs="Times New Roman"/>
          <w:sz w:val="24"/>
          <w:szCs w:val="24"/>
        </w:rPr>
        <w:t xml:space="preserve">- </w:t>
      </w:r>
      <w:r w:rsidRPr="002202F9">
        <w:rPr>
          <w:rFonts w:ascii="Times New Roman" w:hAnsi="Times New Roman" w:cs="Times New Roman"/>
          <w:sz w:val="24"/>
          <w:szCs w:val="24"/>
        </w:rPr>
        <w:t>Instruc</w:t>
      </w:r>
      <w:r w:rsidR="00A32A09" w:rsidRPr="002202F9">
        <w:rPr>
          <w:rFonts w:ascii="Times New Roman" w:hAnsi="Times New Roman" w:cs="Times New Roman"/>
          <w:sz w:val="24"/>
          <w:szCs w:val="24"/>
        </w:rPr>
        <w:t>ț</w:t>
      </w:r>
      <w:r w:rsidRPr="002202F9">
        <w:rPr>
          <w:rFonts w:ascii="Times New Roman" w:hAnsi="Times New Roman" w:cs="Times New Roman"/>
          <w:sz w:val="24"/>
          <w:szCs w:val="24"/>
        </w:rPr>
        <w:t>i</w:t>
      </w:r>
      <w:r w:rsidR="002202F9">
        <w:rPr>
          <w:rFonts w:ascii="Times New Roman" w:hAnsi="Times New Roman" w:cs="Times New Roman"/>
          <w:sz w:val="24"/>
          <w:szCs w:val="24"/>
        </w:rPr>
        <w:t>u</w:t>
      </w:r>
      <w:r w:rsidRPr="002202F9">
        <w:rPr>
          <w:rFonts w:ascii="Times New Roman" w:hAnsi="Times New Roman" w:cs="Times New Roman"/>
          <w:sz w:val="24"/>
          <w:szCs w:val="24"/>
        </w:rPr>
        <w:t>ne de debitare direct</w:t>
      </w:r>
      <w:r w:rsidR="00A32A09" w:rsidRPr="002202F9">
        <w:rPr>
          <w:rFonts w:ascii="Times New Roman" w:hAnsi="Times New Roman" w:cs="Times New Roman"/>
          <w:sz w:val="24"/>
          <w:szCs w:val="24"/>
        </w:rPr>
        <w:t>ă</w:t>
      </w:r>
    </w:p>
    <w:p w14:paraId="2C8BF491" w14:textId="3EB686C5" w:rsidR="0045536B" w:rsidRDefault="0045536B" w:rsidP="00C961E0">
      <w:pPr>
        <w:tabs>
          <w:tab w:val="left" w:pos="90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MDD - Mandat de debitare direct</w:t>
      </w:r>
      <w:r w:rsidR="00A32A09" w:rsidRPr="002202F9">
        <w:rPr>
          <w:rFonts w:ascii="Times New Roman" w:hAnsi="Times New Roman" w:cs="Times New Roman"/>
          <w:sz w:val="24"/>
          <w:szCs w:val="24"/>
        </w:rPr>
        <w:t>ă</w:t>
      </w:r>
    </w:p>
    <w:p w14:paraId="24F8B085" w14:textId="096F8557" w:rsidR="00ED1393" w:rsidRPr="002202F9" w:rsidRDefault="00ED1393" w:rsidP="00C961E0">
      <w:pPr>
        <w:tabs>
          <w:tab w:val="left" w:pos="90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NZD – Nota zilnic</w:t>
      </w:r>
      <w:r w:rsidR="00126265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de decontare</w:t>
      </w:r>
    </w:p>
    <w:p w14:paraId="7CBE0931" w14:textId="21242E4D" w:rsidR="004E7C3D" w:rsidRPr="002202F9" w:rsidRDefault="004E7C3D" w:rsidP="00C961E0">
      <w:pPr>
        <w:tabs>
          <w:tab w:val="left" w:pos="90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OP</w:t>
      </w:r>
      <w:r w:rsidR="008B0440" w:rsidRPr="002202F9">
        <w:rPr>
          <w:rFonts w:ascii="Times New Roman" w:hAnsi="Times New Roman" w:cs="Times New Roman"/>
          <w:sz w:val="24"/>
          <w:szCs w:val="24"/>
        </w:rPr>
        <w:t xml:space="preserve"> - </w:t>
      </w:r>
      <w:r w:rsidRPr="002202F9">
        <w:rPr>
          <w:rFonts w:ascii="Times New Roman" w:hAnsi="Times New Roman" w:cs="Times New Roman"/>
          <w:sz w:val="24"/>
          <w:szCs w:val="24"/>
        </w:rPr>
        <w:t>Ordin de Plată</w:t>
      </w:r>
    </w:p>
    <w:p w14:paraId="675048B3" w14:textId="28CCA9D6" w:rsidR="00DE4456" w:rsidRPr="002202F9" w:rsidRDefault="00DE4456" w:rsidP="00C961E0">
      <w:pPr>
        <w:tabs>
          <w:tab w:val="left" w:pos="90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OPEED</w:t>
      </w:r>
      <w:r w:rsidR="008B0440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BD763C" w:rsidRPr="002202F9">
        <w:rPr>
          <w:rFonts w:ascii="Times New Roman" w:hAnsi="Times New Roman" w:cs="Times New Roman"/>
          <w:sz w:val="24"/>
          <w:szCs w:val="24"/>
        </w:rPr>
        <w:t xml:space="preserve">- </w:t>
      </w:r>
      <w:r w:rsidRPr="002202F9">
        <w:rPr>
          <w:rFonts w:ascii="Times New Roman" w:hAnsi="Times New Roman" w:cs="Times New Roman"/>
          <w:sz w:val="24"/>
          <w:szCs w:val="24"/>
        </w:rPr>
        <w:t>Operator</w:t>
      </w:r>
      <w:r w:rsidR="004E7C3D" w:rsidRPr="002202F9">
        <w:rPr>
          <w:rFonts w:ascii="Times New Roman" w:hAnsi="Times New Roman" w:cs="Times New Roman"/>
          <w:sz w:val="24"/>
          <w:szCs w:val="24"/>
        </w:rPr>
        <w:t xml:space="preserve"> al Pieței de Energie Electrică Desemnat</w:t>
      </w:r>
    </w:p>
    <w:p w14:paraId="57EF2A1E" w14:textId="6111AE66" w:rsidR="00D922F4" w:rsidRPr="002202F9" w:rsidRDefault="00D922F4" w:rsidP="00C961E0">
      <w:pPr>
        <w:tabs>
          <w:tab w:val="left" w:pos="90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OTS</w:t>
      </w:r>
      <w:r w:rsidR="00BD763C" w:rsidRPr="002202F9">
        <w:rPr>
          <w:rFonts w:ascii="Times New Roman" w:hAnsi="Times New Roman" w:cs="Times New Roman"/>
          <w:sz w:val="24"/>
          <w:szCs w:val="24"/>
        </w:rPr>
        <w:t xml:space="preserve"> - </w:t>
      </w:r>
      <w:r w:rsidRPr="002202F9">
        <w:rPr>
          <w:rFonts w:ascii="Times New Roman" w:hAnsi="Times New Roman" w:cs="Times New Roman"/>
          <w:sz w:val="24"/>
          <w:szCs w:val="24"/>
        </w:rPr>
        <w:t>Operato</w:t>
      </w:r>
      <w:r w:rsidR="00A32A09">
        <w:rPr>
          <w:rFonts w:ascii="Times New Roman" w:hAnsi="Times New Roman" w:cs="Times New Roman"/>
          <w:sz w:val="24"/>
          <w:szCs w:val="24"/>
        </w:rPr>
        <w:t>r</w:t>
      </w:r>
      <w:r w:rsidRPr="002202F9">
        <w:rPr>
          <w:rFonts w:ascii="Times New Roman" w:hAnsi="Times New Roman" w:cs="Times New Roman"/>
          <w:sz w:val="24"/>
          <w:szCs w:val="24"/>
        </w:rPr>
        <w:t xml:space="preserve"> de Transport și </w:t>
      </w:r>
      <w:r w:rsidR="003E0DD7" w:rsidRPr="002202F9">
        <w:rPr>
          <w:rFonts w:ascii="Times New Roman" w:hAnsi="Times New Roman" w:cs="Times New Roman"/>
          <w:sz w:val="24"/>
          <w:szCs w:val="24"/>
        </w:rPr>
        <w:t xml:space="preserve">de </w:t>
      </w:r>
      <w:r w:rsidRPr="002202F9">
        <w:rPr>
          <w:rFonts w:ascii="Times New Roman" w:hAnsi="Times New Roman" w:cs="Times New Roman"/>
          <w:sz w:val="24"/>
          <w:szCs w:val="24"/>
        </w:rPr>
        <w:t>Sistem</w:t>
      </w:r>
    </w:p>
    <w:p w14:paraId="586EFD13" w14:textId="76B37F71" w:rsidR="00272508" w:rsidRDefault="00272508" w:rsidP="00C961E0">
      <w:pPr>
        <w:tabs>
          <w:tab w:val="left" w:pos="90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PI</w:t>
      </w:r>
      <w:r w:rsidR="00BD763C" w:rsidRPr="002202F9">
        <w:rPr>
          <w:rFonts w:ascii="Times New Roman" w:hAnsi="Times New Roman" w:cs="Times New Roman"/>
          <w:sz w:val="24"/>
          <w:szCs w:val="24"/>
        </w:rPr>
        <w:t xml:space="preserve"> - </w:t>
      </w:r>
      <w:r w:rsidRPr="002202F9">
        <w:rPr>
          <w:rFonts w:ascii="Times New Roman" w:hAnsi="Times New Roman" w:cs="Times New Roman"/>
          <w:sz w:val="24"/>
          <w:szCs w:val="24"/>
        </w:rPr>
        <w:t>Piața Intrazilnică</w:t>
      </w:r>
    </w:p>
    <w:p w14:paraId="44B47A2F" w14:textId="1521C516" w:rsidR="00E55C6D" w:rsidRPr="002202F9" w:rsidRDefault="00E55C6D" w:rsidP="00C961E0">
      <w:pPr>
        <w:tabs>
          <w:tab w:val="left" w:pos="90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E55C6D">
        <w:rPr>
          <w:rFonts w:ascii="Times New Roman" w:hAnsi="Times New Roman" w:cs="Times New Roman"/>
          <w:sz w:val="24"/>
          <w:szCs w:val="24"/>
        </w:rPr>
        <w:t>PZU - Piaţa pentru Ziua Următoare de energie electrică cu respectarea mecanismului de cuplare prin preț a piețelor;</w:t>
      </w:r>
    </w:p>
    <w:p w14:paraId="0062AE38" w14:textId="5FB1D2E4" w:rsidR="008F54AF" w:rsidRPr="002202F9" w:rsidRDefault="00D922F4" w:rsidP="00C961E0">
      <w:pPr>
        <w:tabs>
          <w:tab w:val="left" w:pos="900"/>
        </w:tabs>
        <w:spacing w:after="0"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SGB</w:t>
      </w:r>
      <w:r w:rsidR="00BD763C" w:rsidRPr="002202F9">
        <w:rPr>
          <w:rFonts w:ascii="Times New Roman" w:hAnsi="Times New Roman" w:cs="Times New Roman"/>
          <w:sz w:val="24"/>
          <w:szCs w:val="24"/>
        </w:rPr>
        <w:t xml:space="preserve"> - </w:t>
      </w:r>
      <w:r w:rsidRPr="002202F9">
        <w:rPr>
          <w:rFonts w:ascii="Times New Roman" w:hAnsi="Times New Roman" w:cs="Times New Roman"/>
          <w:sz w:val="24"/>
          <w:szCs w:val="24"/>
        </w:rPr>
        <w:t>Scrisoare de Garanție Bancară</w:t>
      </w:r>
    </w:p>
    <w:p w14:paraId="54F3280A" w14:textId="77777777" w:rsidR="003A215C" w:rsidRPr="002202F9" w:rsidRDefault="003A215C" w:rsidP="00C961E0">
      <w:pPr>
        <w:tabs>
          <w:tab w:val="left" w:pos="900"/>
        </w:tabs>
        <w:spacing w:after="0"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</w:p>
    <w:p w14:paraId="29E6717D" w14:textId="67DDF060" w:rsidR="00C36631" w:rsidRPr="002202F9" w:rsidRDefault="00C36631" w:rsidP="00C961E0">
      <w:pPr>
        <w:pStyle w:val="Heading1"/>
        <w:numPr>
          <w:ilvl w:val="0"/>
          <w:numId w:val="9"/>
        </w:numPr>
        <w:spacing w:before="0"/>
        <w:ind w:left="432" w:hanging="432"/>
      </w:pPr>
      <w:bookmarkStart w:id="7" w:name="_Toc163209718"/>
      <w:bookmarkStart w:id="8" w:name="_Toc163211428"/>
      <w:bookmarkEnd w:id="7"/>
      <w:r w:rsidRPr="002202F9">
        <w:t>Definiții</w:t>
      </w:r>
      <w:r w:rsidR="00AE09EB" w:rsidRPr="002202F9">
        <w:t xml:space="preserve"> si</w:t>
      </w:r>
      <w:r w:rsidRPr="002202F9">
        <w:t xml:space="preserve"> termeni utilizați</w:t>
      </w:r>
      <w:bookmarkEnd w:id="8"/>
    </w:p>
    <w:p w14:paraId="03F7DB12" w14:textId="365EEEEE" w:rsidR="00BA7C3D" w:rsidRPr="002202F9" w:rsidRDefault="0006390B" w:rsidP="00C961E0">
      <w:pPr>
        <w:spacing w:after="0"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b/>
          <w:bCs/>
          <w:sz w:val="24"/>
          <w:szCs w:val="24"/>
        </w:rPr>
        <w:t xml:space="preserve">Banca de cont central – </w:t>
      </w:r>
      <w:r w:rsidRPr="002202F9">
        <w:rPr>
          <w:rFonts w:ascii="Times New Roman" w:hAnsi="Times New Roman" w:cs="Times New Roman"/>
          <w:sz w:val="24"/>
          <w:szCs w:val="24"/>
        </w:rPr>
        <w:t xml:space="preserve">Banca comercială </w:t>
      </w:r>
      <w:r w:rsidR="00BA7C3D" w:rsidRPr="002202F9">
        <w:rPr>
          <w:rFonts w:ascii="Times New Roman" w:hAnsi="Times New Roman" w:cs="Times New Roman"/>
          <w:sz w:val="24"/>
          <w:szCs w:val="24"/>
        </w:rPr>
        <w:t>care acționează ca instituție colectoare în raport cu BRM și la care BRM are deschis contul central</w:t>
      </w:r>
      <w:r w:rsidR="00F43B39" w:rsidRPr="002202F9">
        <w:rPr>
          <w:rFonts w:ascii="Times New Roman" w:hAnsi="Times New Roman" w:cs="Times New Roman"/>
          <w:sz w:val="24"/>
          <w:szCs w:val="24"/>
        </w:rPr>
        <w:t xml:space="preserve">, care urmează a fi creditat sau a fost creditat cu sumele prevăzute în </w:t>
      </w:r>
      <w:r w:rsidR="001E7E71" w:rsidRPr="002202F9">
        <w:rPr>
          <w:rFonts w:ascii="Times New Roman" w:hAnsi="Times New Roman" w:cs="Times New Roman"/>
          <w:sz w:val="24"/>
          <w:szCs w:val="24"/>
        </w:rPr>
        <w:t>IDD</w:t>
      </w:r>
      <w:r w:rsidR="00F43B39" w:rsidRPr="002202F9">
        <w:rPr>
          <w:rFonts w:ascii="Times New Roman" w:hAnsi="Times New Roman" w:cs="Times New Roman"/>
          <w:sz w:val="24"/>
          <w:szCs w:val="24"/>
        </w:rPr>
        <w:t>.</w:t>
      </w:r>
    </w:p>
    <w:p w14:paraId="7490CC07" w14:textId="7300DE46" w:rsidR="00312AD0" w:rsidRPr="002202F9" w:rsidRDefault="00F43B39" w:rsidP="00C961E0">
      <w:pPr>
        <w:spacing w:after="0"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b/>
          <w:bCs/>
          <w:sz w:val="24"/>
          <w:szCs w:val="24"/>
        </w:rPr>
        <w:lastRenderedPageBreak/>
        <w:t>Ban</w:t>
      </w:r>
      <w:r w:rsidR="00312AD0" w:rsidRPr="002202F9">
        <w:rPr>
          <w:rFonts w:ascii="Times New Roman" w:hAnsi="Times New Roman" w:cs="Times New Roman"/>
          <w:b/>
          <w:bCs/>
          <w:sz w:val="24"/>
          <w:szCs w:val="24"/>
        </w:rPr>
        <w:t>ca de decontare</w:t>
      </w:r>
      <w:r w:rsidR="00312AD0" w:rsidRPr="002202F9">
        <w:rPr>
          <w:rFonts w:ascii="Times New Roman" w:hAnsi="Times New Roman" w:cs="Times New Roman"/>
          <w:sz w:val="24"/>
          <w:szCs w:val="24"/>
        </w:rPr>
        <w:t xml:space="preserve"> – Banca comercială la care participantul și-a deschis contul care urmeaz</w:t>
      </w:r>
      <w:bookmarkStart w:id="9" w:name="_Hlk163141441"/>
      <w:r w:rsidR="00312AD0" w:rsidRPr="002202F9">
        <w:rPr>
          <w:rFonts w:ascii="Times New Roman" w:hAnsi="Times New Roman" w:cs="Times New Roman"/>
          <w:sz w:val="24"/>
          <w:szCs w:val="24"/>
        </w:rPr>
        <w:t>ă</w:t>
      </w:r>
      <w:bookmarkEnd w:id="9"/>
      <w:r w:rsidR="00312AD0" w:rsidRPr="002202F9">
        <w:rPr>
          <w:rFonts w:ascii="Times New Roman" w:hAnsi="Times New Roman" w:cs="Times New Roman"/>
          <w:sz w:val="24"/>
          <w:szCs w:val="24"/>
        </w:rPr>
        <w:t xml:space="preserve"> a fi debitat sau a fost debitat cu suma prevăzută în </w:t>
      </w:r>
      <w:r w:rsidR="001E7E71" w:rsidRPr="002202F9">
        <w:rPr>
          <w:rFonts w:ascii="Times New Roman" w:hAnsi="Times New Roman" w:cs="Times New Roman"/>
          <w:sz w:val="24"/>
          <w:szCs w:val="24"/>
        </w:rPr>
        <w:t>IDD</w:t>
      </w:r>
      <w:r w:rsidR="00312AD0" w:rsidRPr="002202F9">
        <w:rPr>
          <w:rFonts w:ascii="Times New Roman" w:hAnsi="Times New Roman" w:cs="Times New Roman"/>
          <w:sz w:val="24"/>
          <w:szCs w:val="24"/>
        </w:rPr>
        <w:t>.</w:t>
      </w:r>
    </w:p>
    <w:p w14:paraId="7DEFA261" w14:textId="3EA400AB" w:rsidR="001E7E71" w:rsidRPr="002202F9" w:rsidRDefault="001E7E71" w:rsidP="00C961E0">
      <w:pPr>
        <w:spacing w:after="0"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C961E0">
        <w:rPr>
          <w:rFonts w:ascii="Times New Roman" w:hAnsi="Times New Roman" w:cs="Times New Roman"/>
          <w:b/>
          <w:bCs/>
          <w:sz w:val="24"/>
          <w:szCs w:val="24"/>
        </w:rPr>
        <w:t>Contul Central</w:t>
      </w:r>
      <w:r w:rsidRPr="002202F9">
        <w:rPr>
          <w:rFonts w:ascii="Times New Roman" w:hAnsi="Times New Roman" w:cs="Times New Roman"/>
          <w:sz w:val="24"/>
          <w:szCs w:val="24"/>
        </w:rPr>
        <w:t xml:space="preserve"> – cont curent al BRM deschis la Banca de cont central </w:t>
      </w:r>
      <w:r w:rsidR="00126265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vederea realiz</w:t>
      </w:r>
      <w:r w:rsidR="00A32A09" w:rsidRPr="00A32A09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rii </w:t>
      </w:r>
      <w:r w:rsidR="00625420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ncas</w:t>
      </w:r>
      <w:r w:rsidR="00A32A09" w:rsidRPr="00A32A09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>rilor si pl</w:t>
      </w:r>
      <w:r w:rsidR="00A32A09" w:rsidRPr="00A32A09">
        <w:rPr>
          <w:rFonts w:ascii="Times New Roman" w:hAnsi="Times New Roman" w:cs="Times New Roman"/>
          <w:sz w:val="24"/>
          <w:szCs w:val="24"/>
        </w:rPr>
        <w:t>ăț</w:t>
      </w:r>
      <w:r w:rsidRPr="002202F9">
        <w:rPr>
          <w:rFonts w:ascii="Times New Roman" w:hAnsi="Times New Roman" w:cs="Times New Roman"/>
          <w:sz w:val="24"/>
          <w:szCs w:val="24"/>
        </w:rPr>
        <w:t xml:space="preserve">ilor aferente </w:t>
      </w:r>
      <w:r w:rsidR="00DF7C7A" w:rsidRPr="002202F9">
        <w:rPr>
          <w:rFonts w:ascii="Times New Roman" w:hAnsi="Times New Roman" w:cs="Times New Roman"/>
          <w:sz w:val="24"/>
          <w:szCs w:val="24"/>
        </w:rPr>
        <w:t>P</w:t>
      </w:r>
      <w:r w:rsidR="00DF7C7A">
        <w:rPr>
          <w:rFonts w:ascii="Times New Roman" w:hAnsi="Times New Roman" w:cs="Times New Roman"/>
          <w:sz w:val="24"/>
          <w:szCs w:val="24"/>
        </w:rPr>
        <w:t>ZU</w:t>
      </w:r>
      <w:r w:rsidR="00126265">
        <w:rPr>
          <w:rFonts w:ascii="Times New Roman" w:hAnsi="Times New Roman" w:cs="Times New Roman"/>
          <w:sz w:val="24"/>
          <w:szCs w:val="24"/>
        </w:rPr>
        <w:t>.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FFE3D" w14:textId="34BA7EFB" w:rsidR="001E7E71" w:rsidRPr="002202F9" w:rsidRDefault="00FA4FDA" w:rsidP="00C961E0">
      <w:pPr>
        <w:spacing w:after="0"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b/>
          <w:bCs/>
          <w:sz w:val="24"/>
          <w:szCs w:val="24"/>
        </w:rPr>
        <w:t xml:space="preserve">Contraparte </w:t>
      </w:r>
      <w:r w:rsidR="001E7E71" w:rsidRPr="002202F9">
        <w:rPr>
          <w:rFonts w:ascii="Times New Roman" w:hAnsi="Times New Roman" w:cs="Times New Roman"/>
          <w:b/>
          <w:bCs/>
          <w:sz w:val="24"/>
          <w:szCs w:val="24"/>
        </w:rPr>
        <w:t>Central</w:t>
      </w:r>
      <w:r w:rsidR="00F709ED" w:rsidRPr="00F709ED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– entitate care se interpune, din punct de vedere financiar, între vânzător </w:t>
      </w:r>
      <w:r w:rsidR="008B0440" w:rsidRPr="002202F9">
        <w:rPr>
          <w:rFonts w:ascii="Times New Roman" w:hAnsi="Times New Roman" w:cs="Times New Roman"/>
          <w:sz w:val="24"/>
          <w:szCs w:val="24"/>
        </w:rPr>
        <w:t>ș</w:t>
      </w:r>
      <w:r w:rsidRPr="002202F9">
        <w:rPr>
          <w:rFonts w:ascii="Times New Roman" w:hAnsi="Times New Roman" w:cs="Times New Roman"/>
          <w:sz w:val="24"/>
          <w:szCs w:val="24"/>
        </w:rPr>
        <w:t xml:space="preserve">i cumpărător, devenind cumpărător pentru vânzător, respectiv vânzător pentru cumpărător, cu scopul asigurării procesului de decontare a tranzacției încheiate pe Piața </w:t>
      </w:r>
      <w:r w:rsidR="00DF7C7A">
        <w:rPr>
          <w:rFonts w:ascii="Times New Roman" w:hAnsi="Times New Roman" w:cs="Times New Roman"/>
          <w:sz w:val="24"/>
          <w:szCs w:val="24"/>
        </w:rPr>
        <w:t>pentru Ziua Următoare</w:t>
      </w:r>
      <w:r w:rsidR="00DF7C7A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Pr="002202F9">
        <w:rPr>
          <w:rFonts w:ascii="Times New Roman" w:hAnsi="Times New Roman" w:cs="Times New Roman"/>
          <w:sz w:val="24"/>
          <w:szCs w:val="24"/>
        </w:rPr>
        <w:t xml:space="preserve">în numele acestora. BRM </w:t>
      </w:r>
      <w:r w:rsidR="00126265">
        <w:rPr>
          <w:rFonts w:ascii="Times New Roman" w:hAnsi="Times New Roman" w:cs="Times New Roman"/>
          <w:sz w:val="24"/>
          <w:szCs w:val="24"/>
        </w:rPr>
        <w:t>î</w:t>
      </w:r>
      <w:r w:rsidR="001E7E71" w:rsidRPr="002202F9">
        <w:rPr>
          <w:rFonts w:ascii="Times New Roman" w:hAnsi="Times New Roman" w:cs="Times New Roman"/>
          <w:sz w:val="24"/>
          <w:szCs w:val="24"/>
        </w:rPr>
        <w:t xml:space="preserve">n calitate de OPEED </w:t>
      </w:r>
      <w:r w:rsidRPr="002202F9">
        <w:rPr>
          <w:rFonts w:ascii="Times New Roman" w:hAnsi="Times New Roman" w:cs="Times New Roman"/>
          <w:sz w:val="24"/>
          <w:szCs w:val="24"/>
        </w:rPr>
        <w:t xml:space="preserve">asigură rolul de Contraparte </w:t>
      </w:r>
      <w:r w:rsidR="001E7E71" w:rsidRPr="002202F9">
        <w:rPr>
          <w:rFonts w:ascii="Times New Roman" w:hAnsi="Times New Roman" w:cs="Times New Roman"/>
          <w:sz w:val="24"/>
          <w:szCs w:val="24"/>
        </w:rPr>
        <w:t>Central</w:t>
      </w:r>
      <w:r w:rsidR="00126265">
        <w:rPr>
          <w:rFonts w:ascii="Times New Roman" w:hAnsi="Times New Roman" w:cs="Times New Roman"/>
          <w:sz w:val="24"/>
          <w:szCs w:val="24"/>
        </w:rPr>
        <w:t xml:space="preserve">ă </w:t>
      </w:r>
      <w:r w:rsidR="001E7E71" w:rsidRPr="002202F9">
        <w:rPr>
          <w:rFonts w:ascii="Times New Roman" w:hAnsi="Times New Roman" w:cs="Times New Roman"/>
          <w:sz w:val="24"/>
          <w:szCs w:val="24"/>
        </w:rPr>
        <w:t>pentru participanții la piață pentru toate tranzacțiile acestora, în ceea ce privește drepturile și obligațiile financiare care decurg din aceste tranzacții.</w:t>
      </w:r>
    </w:p>
    <w:p w14:paraId="37B4958D" w14:textId="179DB094" w:rsidR="00BD763C" w:rsidRPr="002202F9" w:rsidRDefault="000C5458" w:rsidP="00C961E0">
      <w:pPr>
        <w:spacing w:after="0"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b/>
          <w:bCs/>
          <w:sz w:val="24"/>
          <w:szCs w:val="24"/>
        </w:rPr>
        <w:t>Debitare directă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– modalitate de plată a unei sume de bani convenite între participant și BRM, care constă în debitarea pre</w:t>
      </w:r>
      <w:r w:rsidR="00F709ED">
        <w:rPr>
          <w:rFonts w:ascii="Times New Roman" w:hAnsi="Times New Roman" w:cs="Times New Roman"/>
          <w:sz w:val="24"/>
          <w:szCs w:val="24"/>
        </w:rPr>
        <w:t>-</w:t>
      </w:r>
      <w:r w:rsidRPr="002202F9">
        <w:rPr>
          <w:rFonts w:ascii="Times New Roman" w:hAnsi="Times New Roman" w:cs="Times New Roman"/>
          <w:sz w:val="24"/>
          <w:szCs w:val="24"/>
        </w:rPr>
        <w:t xml:space="preserve">autorizată a contului participantului cumpărător de către </w:t>
      </w:r>
      <w:r w:rsidR="001E7E71" w:rsidRPr="002202F9">
        <w:rPr>
          <w:rFonts w:ascii="Times New Roman" w:hAnsi="Times New Roman" w:cs="Times New Roman"/>
          <w:sz w:val="24"/>
          <w:szCs w:val="24"/>
        </w:rPr>
        <w:t>banca de decontare</w:t>
      </w:r>
      <w:r w:rsidRPr="002202F9">
        <w:rPr>
          <w:rFonts w:ascii="Times New Roman" w:hAnsi="Times New Roman" w:cs="Times New Roman"/>
          <w:sz w:val="24"/>
          <w:szCs w:val="24"/>
        </w:rPr>
        <w:t xml:space="preserve"> în baza prevederilor mandatului de debitare directă la solicitarea BRM</w:t>
      </w:r>
      <w:r w:rsidR="009D7316">
        <w:rPr>
          <w:rFonts w:ascii="Times New Roman" w:hAnsi="Times New Roman" w:cs="Times New Roman"/>
          <w:sz w:val="24"/>
          <w:szCs w:val="24"/>
        </w:rPr>
        <w:t xml:space="preserve">, </w:t>
      </w:r>
      <w:r w:rsidRPr="002202F9">
        <w:rPr>
          <w:rFonts w:ascii="Times New Roman" w:hAnsi="Times New Roman" w:cs="Times New Roman"/>
          <w:sz w:val="24"/>
          <w:szCs w:val="24"/>
        </w:rPr>
        <w:t xml:space="preserve">și creditarea corespunzătoare a contului BRM de către banca de cont central în baza contractului privind debitarea directă; această modalitate de plată nu necesită autorizarea prealabilă de către </w:t>
      </w:r>
      <w:r w:rsidRPr="009D7316">
        <w:rPr>
          <w:rFonts w:ascii="Times New Roman" w:hAnsi="Times New Roman" w:cs="Times New Roman"/>
          <w:sz w:val="24"/>
          <w:szCs w:val="24"/>
        </w:rPr>
        <w:t>participant a fiecărei instrucțiuni de debitare directă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trasă asupra contului său, așa cum este reglementat </w:t>
      </w:r>
      <w:r w:rsidR="008B0440" w:rsidRPr="002202F9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 xml:space="preserve">n </w:t>
      </w:r>
      <w:r w:rsidRPr="002202F9">
        <w:rPr>
          <w:rFonts w:ascii="Times New Roman" w:hAnsi="Times New Roman" w:cs="Times New Roman"/>
          <w:i/>
          <w:iCs/>
          <w:sz w:val="24"/>
          <w:szCs w:val="24"/>
        </w:rPr>
        <w:t>Regulamentul BNR nr. 2/2016 privind operațiunile de transfer de credit și debitare directă</w:t>
      </w:r>
      <w:r w:rsidR="001E7E71" w:rsidRPr="002202F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E7E71" w:rsidRPr="002202F9">
        <w:rPr>
          <w:rFonts w:ascii="Times New Roman" w:hAnsi="Times New Roman" w:cs="Times New Roman"/>
          <w:sz w:val="24"/>
          <w:szCs w:val="24"/>
        </w:rPr>
        <w:t xml:space="preserve"> cu modific</w:t>
      </w:r>
      <w:r w:rsidR="00126265">
        <w:rPr>
          <w:rFonts w:ascii="Times New Roman" w:hAnsi="Times New Roman" w:cs="Times New Roman"/>
          <w:sz w:val="24"/>
          <w:szCs w:val="24"/>
        </w:rPr>
        <w:t>ă</w:t>
      </w:r>
      <w:r w:rsidR="001E7E71" w:rsidRPr="002202F9">
        <w:rPr>
          <w:rFonts w:ascii="Times New Roman" w:hAnsi="Times New Roman" w:cs="Times New Roman"/>
          <w:sz w:val="24"/>
          <w:szCs w:val="24"/>
        </w:rPr>
        <w:t xml:space="preserve">rile </w:t>
      </w:r>
      <w:r w:rsidR="00625420">
        <w:rPr>
          <w:rFonts w:ascii="Times New Roman" w:hAnsi="Times New Roman" w:cs="Times New Roman"/>
          <w:sz w:val="24"/>
          <w:szCs w:val="24"/>
        </w:rPr>
        <w:t>ş</w:t>
      </w:r>
      <w:r w:rsidR="001E7E71" w:rsidRPr="002202F9">
        <w:rPr>
          <w:rFonts w:ascii="Times New Roman" w:hAnsi="Times New Roman" w:cs="Times New Roman"/>
          <w:sz w:val="24"/>
          <w:szCs w:val="24"/>
        </w:rPr>
        <w:t>i complet</w:t>
      </w:r>
      <w:r w:rsidR="00126265">
        <w:rPr>
          <w:rFonts w:ascii="Times New Roman" w:hAnsi="Times New Roman" w:cs="Times New Roman"/>
          <w:sz w:val="24"/>
          <w:szCs w:val="24"/>
        </w:rPr>
        <w:t>ă</w:t>
      </w:r>
      <w:r w:rsidR="001E7E71" w:rsidRPr="002202F9">
        <w:rPr>
          <w:rFonts w:ascii="Times New Roman" w:hAnsi="Times New Roman" w:cs="Times New Roman"/>
          <w:sz w:val="24"/>
          <w:szCs w:val="24"/>
        </w:rPr>
        <w:t>rile ulterioare.</w:t>
      </w:r>
    </w:p>
    <w:p w14:paraId="4DF0BF85" w14:textId="6AAD6045" w:rsidR="00312AD0" w:rsidRPr="002202F9" w:rsidRDefault="00312AD0" w:rsidP="00C961E0">
      <w:pPr>
        <w:spacing w:after="0"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b/>
          <w:bCs/>
          <w:sz w:val="24"/>
          <w:szCs w:val="24"/>
        </w:rPr>
        <w:t>Instrucțiune de debitare directă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Pr="009D7316">
        <w:rPr>
          <w:rFonts w:ascii="Times New Roman" w:hAnsi="Times New Roman" w:cs="Times New Roman"/>
          <w:sz w:val="24"/>
          <w:szCs w:val="24"/>
        </w:rPr>
        <w:t xml:space="preserve">– instrucțiune de </w:t>
      </w:r>
      <w:r w:rsidR="000C5458" w:rsidRPr="009D7316">
        <w:rPr>
          <w:rFonts w:ascii="Times New Roman" w:hAnsi="Times New Roman" w:cs="Times New Roman"/>
          <w:sz w:val="24"/>
          <w:szCs w:val="24"/>
        </w:rPr>
        <w:t xml:space="preserve">plată prin debitare directă </w:t>
      </w:r>
      <w:r w:rsidR="001E7E71" w:rsidRPr="009D7316">
        <w:rPr>
          <w:rFonts w:ascii="Times New Roman" w:hAnsi="Times New Roman" w:cs="Times New Roman"/>
          <w:sz w:val="24"/>
          <w:szCs w:val="24"/>
        </w:rPr>
        <w:t>ini</w:t>
      </w:r>
      <w:r w:rsidR="00126265">
        <w:rPr>
          <w:rFonts w:ascii="Times New Roman" w:hAnsi="Times New Roman" w:cs="Times New Roman"/>
          <w:sz w:val="24"/>
          <w:szCs w:val="24"/>
        </w:rPr>
        <w:t>ț</w:t>
      </w:r>
      <w:r w:rsidR="001E7E71" w:rsidRPr="009D7316">
        <w:rPr>
          <w:rFonts w:ascii="Times New Roman" w:hAnsi="Times New Roman" w:cs="Times New Roman"/>
          <w:sz w:val="24"/>
          <w:szCs w:val="24"/>
        </w:rPr>
        <w:t>iat</w:t>
      </w:r>
      <w:r w:rsidR="009D7316" w:rsidRPr="00C961E0">
        <w:rPr>
          <w:rFonts w:ascii="Times New Roman" w:hAnsi="Times New Roman" w:cs="Times New Roman"/>
          <w:sz w:val="24"/>
          <w:szCs w:val="24"/>
        </w:rPr>
        <w:t>ă</w:t>
      </w:r>
      <w:r w:rsidR="001E7E71" w:rsidRPr="009D7316">
        <w:rPr>
          <w:rFonts w:ascii="Times New Roman" w:hAnsi="Times New Roman" w:cs="Times New Roman"/>
          <w:sz w:val="24"/>
          <w:szCs w:val="24"/>
        </w:rPr>
        <w:t xml:space="preserve"> </w:t>
      </w:r>
      <w:r w:rsidR="000C5458" w:rsidRPr="009D7316">
        <w:rPr>
          <w:rFonts w:ascii="Times New Roman" w:hAnsi="Times New Roman" w:cs="Times New Roman"/>
          <w:sz w:val="24"/>
          <w:szCs w:val="24"/>
        </w:rPr>
        <w:t>de BRM către Banca de cont central</w:t>
      </w:r>
      <w:r w:rsidR="001E7E71" w:rsidRPr="009D7316">
        <w:rPr>
          <w:rFonts w:ascii="Times New Roman" w:hAnsi="Times New Roman" w:cs="Times New Roman"/>
          <w:sz w:val="24"/>
          <w:szCs w:val="24"/>
        </w:rPr>
        <w:t xml:space="preserve"> </w:t>
      </w:r>
      <w:r w:rsidR="000C5458" w:rsidRPr="009D7316">
        <w:rPr>
          <w:rFonts w:ascii="Times New Roman" w:hAnsi="Times New Roman" w:cs="Times New Roman"/>
          <w:sz w:val="24"/>
          <w:szCs w:val="24"/>
        </w:rPr>
        <w:t>la care BRM are deschis Contul Central aferent Pieței Intrazilnice</w:t>
      </w:r>
      <w:r w:rsidR="001E7E71" w:rsidRPr="009D7316">
        <w:rPr>
          <w:rFonts w:ascii="Times New Roman" w:hAnsi="Times New Roman" w:cs="Times New Roman"/>
          <w:sz w:val="24"/>
          <w:szCs w:val="24"/>
        </w:rPr>
        <w:t>,</w:t>
      </w:r>
      <w:r w:rsidR="000C5458" w:rsidRPr="009D7316">
        <w:rPr>
          <w:rFonts w:ascii="Times New Roman" w:hAnsi="Times New Roman" w:cs="Times New Roman"/>
          <w:sz w:val="24"/>
          <w:szCs w:val="24"/>
        </w:rPr>
        <w:t xml:space="preserve"> care urmează a fi creditat sau a fost creditat de către </w:t>
      </w:r>
      <w:r w:rsidR="001E7E71" w:rsidRPr="009D7316">
        <w:rPr>
          <w:rFonts w:ascii="Times New Roman" w:hAnsi="Times New Roman" w:cs="Times New Roman"/>
          <w:sz w:val="24"/>
          <w:szCs w:val="24"/>
        </w:rPr>
        <w:t xml:space="preserve">banca </w:t>
      </w:r>
      <w:r w:rsidR="000C5458" w:rsidRPr="009D7316">
        <w:rPr>
          <w:rFonts w:ascii="Times New Roman" w:hAnsi="Times New Roman" w:cs="Times New Roman"/>
          <w:sz w:val="24"/>
          <w:szCs w:val="24"/>
        </w:rPr>
        <w:t>plătitoare la care participantul are deschis contul curent care urmează a fi debitat sau a fost debitat cu suma prevăzută în respectiva instrucțiune de debitare directă.</w:t>
      </w:r>
    </w:p>
    <w:p w14:paraId="3A0A16B6" w14:textId="348AEF23" w:rsidR="001E7E71" w:rsidRPr="002202F9" w:rsidRDefault="00312E4D" w:rsidP="00C961E0">
      <w:pPr>
        <w:spacing w:after="0"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b/>
          <w:bCs/>
          <w:sz w:val="24"/>
          <w:szCs w:val="24"/>
        </w:rPr>
        <w:t xml:space="preserve">Mandat de debitare directă </w:t>
      </w:r>
      <w:r w:rsidRPr="002202F9">
        <w:rPr>
          <w:rFonts w:ascii="Times New Roman" w:hAnsi="Times New Roman" w:cs="Times New Roman"/>
          <w:sz w:val="24"/>
          <w:szCs w:val="24"/>
        </w:rPr>
        <w:t xml:space="preserve">– </w:t>
      </w:r>
      <w:r w:rsidR="001E7E71" w:rsidRPr="002202F9">
        <w:rPr>
          <w:rFonts w:ascii="Times New Roman" w:hAnsi="Times New Roman" w:cs="Times New Roman"/>
          <w:sz w:val="24"/>
          <w:szCs w:val="24"/>
        </w:rPr>
        <w:t>acord de voinţă transmis în scris ori prin mijloace electronice, semnat</w:t>
      </w:r>
      <w:r w:rsidR="00F709ED">
        <w:rPr>
          <w:rFonts w:ascii="Times New Roman" w:hAnsi="Times New Roman" w:cs="Times New Roman"/>
          <w:sz w:val="24"/>
          <w:szCs w:val="24"/>
        </w:rPr>
        <w:t>,</w:t>
      </w:r>
      <w:r w:rsidR="001E7E71" w:rsidRPr="002202F9">
        <w:rPr>
          <w:rFonts w:ascii="Times New Roman" w:hAnsi="Times New Roman" w:cs="Times New Roman"/>
          <w:sz w:val="24"/>
          <w:szCs w:val="24"/>
        </w:rPr>
        <w:t xml:space="preserve"> sau a cărui autenticitate a fost verificată prin aplicarea unei proceduri de securitate</w:t>
      </w:r>
      <w:r w:rsidR="00F709ED">
        <w:rPr>
          <w:rFonts w:ascii="Times New Roman" w:hAnsi="Times New Roman" w:cs="Times New Roman"/>
          <w:sz w:val="24"/>
          <w:szCs w:val="24"/>
        </w:rPr>
        <w:t>,</w:t>
      </w:r>
      <w:r w:rsidRPr="002202F9">
        <w:rPr>
          <w:rFonts w:ascii="Times New Roman" w:hAnsi="Times New Roman" w:cs="Times New Roman"/>
          <w:sz w:val="24"/>
          <w:szCs w:val="24"/>
        </w:rPr>
        <w:t xml:space="preserve"> prin care un participant acordă o autorizație permanentă, </w:t>
      </w:r>
      <w:r w:rsidRPr="009D7316">
        <w:rPr>
          <w:rFonts w:ascii="Times New Roman" w:hAnsi="Times New Roman" w:cs="Times New Roman"/>
          <w:sz w:val="24"/>
          <w:szCs w:val="24"/>
        </w:rPr>
        <w:t>dar revocabilă B</w:t>
      </w:r>
      <w:r w:rsidR="009D7316" w:rsidRPr="00C961E0">
        <w:rPr>
          <w:rFonts w:ascii="Times New Roman" w:hAnsi="Times New Roman" w:cs="Times New Roman"/>
          <w:sz w:val="24"/>
          <w:szCs w:val="24"/>
        </w:rPr>
        <w:t xml:space="preserve">ursei Române de Marfuri </w:t>
      </w:r>
      <w:r w:rsidR="001E7E71" w:rsidRPr="009D7316">
        <w:rPr>
          <w:rFonts w:ascii="Times New Roman" w:hAnsi="Times New Roman" w:cs="Times New Roman"/>
          <w:sz w:val="24"/>
          <w:szCs w:val="24"/>
        </w:rPr>
        <w:t>în vederea debitării contului său de plăţi deschis la instituția plătitoare</w:t>
      </w:r>
      <w:r w:rsidR="001E7E71" w:rsidRPr="002202F9">
        <w:rPr>
          <w:rFonts w:ascii="Times New Roman" w:hAnsi="Times New Roman" w:cs="Times New Roman"/>
          <w:sz w:val="24"/>
          <w:szCs w:val="24"/>
        </w:rPr>
        <w:t xml:space="preserve"> și, respectiv, dreptul instituției plătitoare de a-i debita contul curent cu suma prevăzută în instrucțiunile de debitare directă emise de BRM.</w:t>
      </w:r>
    </w:p>
    <w:p w14:paraId="6B900256" w14:textId="71A63B5F" w:rsidR="001E7E71" w:rsidRPr="002202F9" w:rsidRDefault="007A3733" w:rsidP="00C961E0">
      <w:pPr>
        <w:spacing w:after="0" w:line="360" w:lineRule="auto"/>
        <w:ind w:left="432" w:hanging="432"/>
        <w:jc w:val="both"/>
        <w:rPr>
          <w:rFonts w:ascii="Times New Roman" w:hAnsi="Times New Roman" w:cs="Times New Roman"/>
        </w:rPr>
      </w:pPr>
      <w:r w:rsidRPr="002202F9">
        <w:rPr>
          <w:rFonts w:ascii="Times New Roman" w:hAnsi="Times New Roman" w:cs="Times New Roman"/>
          <w:b/>
          <w:bCs/>
          <w:sz w:val="24"/>
          <w:szCs w:val="24"/>
        </w:rPr>
        <w:lastRenderedPageBreak/>
        <w:t>Notă zilnică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1E7E71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1E7E71" w:rsidRPr="00C961E0">
        <w:rPr>
          <w:rFonts w:ascii="Times New Roman" w:hAnsi="Times New Roman" w:cs="Times New Roman"/>
          <w:b/>
          <w:bCs/>
          <w:sz w:val="24"/>
          <w:szCs w:val="24"/>
        </w:rPr>
        <w:t>de decontare</w:t>
      </w:r>
      <w:r w:rsidR="001E7E71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Pr="002202F9">
        <w:rPr>
          <w:rFonts w:ascii="Times New Roman" w:hAnsi="Times New Roman" w:cs="Times New Roman"/>
          <w:sz w:val="24"/>
          <w:szCs w:val="24"/>
        </w:rPr>
        <w:t xml:space="preserve">– raport emis de BRM pentru </w:t>
      </w:r>
      <w:r w:rsidR="001E7E71" w:rsidRPr="002202F9">
        <w:rPr>
          <w:rFonts w:ascii="Times New Roman" w:hAnsi="Times New Roman" w:cs="Times New Roman"/>
          <w:sz w:val="24"/>
          <w:szCs w:val="24"/>
        </w:rPr>
        <w:t xml:space="preserve">un </w:t>
      </w:r>
      <w:r w:rsidRPr="002202F9">
        <w:rPr>
          <w:rFonts w:ascii="Times New Roman" w:hAnsi="Times New Roman" w:cs="Times New Roman"/>
          <w:sz w:val="24"/>
          <w:szCs w:val="24"/>
        </w:rPr>
        <w:t>participant</w:t>
      </w:r>
      <w:r w:rsidR="001E7E71" w:rsidRPr="002202F9">
        <w:rPr>
          <w:rFonts w:ascii="Times New Roman" w:hAnsi="Times New Roman" w:cs="Times New Roman"/>
          <w:sz w:val="24"/>
          <w:szCs w:val="24"/>
        </w:rPr>
        <w:t xml:space="preserve"> la </w:t>
      </w:r>
      <w:r w:rsidR="00DF7C7A" w:rsidRPr="002202F9">
        <w:rPr>
          <w:rFonts w:ascii="Times New Roman" w:hAnsi="Times New Roman" w:cs="Times New Roman"/>
          <w:sz w:val="24"/>
          <w:szCs w:val="24"/>
        </w:rPr>
        <w:t>P</w:t>
      </w:r>
      <w:r w:rsidR="00DF7C7A">
        <w:rPr>
          <w:rFonts w:ascii="Times New Roman" w:hAnsi="Times New Roman" w:cs="Times New Roman"/>
          <w:sz w:val="24"/>
          <w:szCs w:val="24"/>
        </w:rPr>
        <w:t>ZU</w:t>
      </w:r>
      <w:r w:rsidRPr="002202F9">
        <w:rPr>
          <w:rFonts w:ascii="Times New Roman" w:hAnsi="Times New Roman" w:cs="Times New Roman"/>
          <w:sz w:val="24"/>
          <w:szCs w:val="24"/>
        </w:rPr>
        <w:t>, conform prevederilor prezent</w:t>
      </w:r>
      <w:r w:rsidR="008219F1">
        <w:rPr>
          <w:rFonts w:ascii="Times New Roman" w:hAnsi="Times New Roman" w:cs="Times New Roman"/>
          <w:sz w:val="24"/>
          <w:szCs w:val="24"/>
        </w:rPr>
        <w:t>ei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8219F1">
        <w:rPr>
          <w:rFonts w:ascii="Times New Roman" w:hAnsi="Times New Roman" w:cs="Times New Roman"/>
          <w:sz w:val="24"/>
          <w:szCs w:val="24"/>
        </w:rPr>
        <w:t>proceduri</w:t>
      </w:r>
      <w:r w:rsidR="001E7E71" w:rsidRPr="002202F9">
        <w:rPr>
          <w:rFonts w:ascii="Times New Roman" w:hAnsi="Times New Roman" w:cs="Times New Roman"/>
          <w:sz w:val="24"/>
          <w:szCs w:val="24"/>
        </w:rPr>
        <w:t xml:space="preserve"> care con</w:t>
      </w:r>
      <w:r w:rsidR="00F709ED" w:rsidRPr="002202F9">
        <w:rPr>
          <w:rFonts w:ascii="Times New Roman" w:hAnsi="Times New Roman" w:cs="Times New Roman"/>
          <w:sz w:val="24"/>
          <w:szCs w:val="24"/>
        </w:rPr>
        <w:t>ț</w:t>
      </w:r>
      <w:r w:rsidR="001E7E71" w:rsidRPr="002202F9">
        <w:rPr>
          <w:rFonts w:ascii="Times New Roman" w:hAnsi="Times New Roman" w:cs="Times New Roman"/>
          <w:sz w:val="24"/>
          <w:szCs w:val="24"/>
        </w:rPr>
        <w:t>ine cel pu</w:t>
      </w:r>
      <w:r w:rsidR="00F709ED" w:rsidRPr="002202F9">
        <w:rPr>
          <w:rFonts w:ascii="Times New Roman" w:hAnsi="Times New Roman" w:cs="Times New Roman"/>
          <w:sz w:val="24"/>
          <w:szCs w:val="24"/>
        </w:rPr>
        <w:t>ț</w:t>
      </w:r>
      <w:r w:rsidR="001E7E71" w:rsidRPr="002202F9">
        <w:rPr>
          <w:rFonts w:ascii="Times New Roman" w:hAnsi="Times New Roman" w:cs="Times New Roman"/>
          <w:sz w:val="24"/>
          <w:szCs w:val="24"/>
        </w:rPr>
        <w:t>in urm</w:t>
      </w:r>
      <w:r w:rsidR="00A018FA">
        <w:rPr>
          <w:rFonts w:ascii="Times New Roman" w:hAnsi="Times New Roman" w:cs="Times New Roman"/>
          <w:sz w:val="24"/>
          <w:szCs w:val="24"/>
        </w:rPr>
        <w:t>ă</w:t>
      </w:r>
      <w:r w:rsidR="001E7E71" w:rsidRPr="002202F9">
        <w:rPr>
          <w:rFonts w:ascii="Times New Roman" w:hAnsi="Times New Roman" w:cs="Times New Roman"/>
          <w:sz w:val="24"/>
          <w:szCs w:val="24"/>
        </w:rPr>
        <w:t>toarele elemente pentru tranzac</w:t>
      </w:r>
      <w:r w:rsidR="00F709ED" w:rsidRPr="002202F9">
        <w:rPr>
          <w:rFonts w:ascii="Times New Roman" w:hAnsi="Times New Roman" w:cs="Times New Roman"/>
          <w:sz w:val="24"/>
          <w:szCs w:val="24"/>
        </w:rPr>
        <w:t>ț</w:t>
      </w:r>
      <w:r w:rsidR="001E7E71" w:rsidRPr="002202F9">
        <w:rPr>
          <w:rFonts w:ascii="Times New Roman" w:hAnsi="Times New Roman" w:cs="Times New Roman"/>
          <w:sz w:val="24"/>
          <w:szCs w:val="24"/>
        </w:rPr>
        <w:t xml:space="preserve">iile </w:t>
      </w:r>
      <w:r w:rsidR="00A018FA">
        <w:rPr>
          <w:rFonts w:ascii="Times New Roman" w:hAnsi="Times New Roman" w:cs="Times New Roman"/>
          <w:sz w:val="24"/>
          <w:szCs w:val="24"/>
        </w:rPr>
        <w:t>î</w:t>
      </w:r>
      <w:r w:rsidR="001E7E71" w:rsidRPr="002202F9">
        <w:rPr>
          <w:rFonts w:ascii="Times New Roman" w:hAnsi="Times New Roman" w:cs="Times New Roman"/>
          <w:sz w:val="24"/>
          <w:szCs w:val="24"/>
        </w:rPr>
        <w:t xml:space="preserve">ncheiate: </w:t>
      </w:r>
      <w:r w:rsidR="001E7E71" w:rsidRPr="00C961E0">
        <w:rPr>
          <w:rFonts w:ascii="Times New Roman" w:hAnsi="Times New Roman" w:cs="Times New Roman"/>
          <w:sz w:val="24"/>
          <w:szCs w:val="24"/>
        </w:rPr>
        <w:t xml:space="preserve"> cantitatea de energie electrică cump</w:t>
      </w:r>
      <w:r w:rsidR="00A018FA">
        <w:rPr>
          <w:rFonts w:ascii="Times New Roman" w:hAnsi="Times New Roman" w:cs="Times New Roman"/>
          <w:sz w:val="24"/>
          <w:szCs w:val="24"/>
        </w:rPr>
        <w:t>ă</w:t>
      </w:r>
      <w:r w:rsidR="001E7E71" w:rsidRPr="00C961E0">
        <w:rPr>
          <w:rFonts w:ascii="Times New Roman" w:hAnsi="Times New Roman" w:cs="Times New Roman"/>
          <w:sz w:val="24"/>
          <w:szCs w:val="24"/>
        </w:rPr>
        <w:t>rat</w:t>
      </w:r>
      <w:r w:rsidR="00A018FA">
        <w:rPr>
          <w:rFonts w:ascii="Times New Roman" w:hAnsi="Times New Roman" w:cs="Times New Roman"/>
          <w:sz w:val="24"/>
          <w:szCs w:val="24"/>
        </w:rPr>
        <w:t>ă</w:t>
      </w:r>
      <w:r w:rsidR="001E7E71" w:rsidRPr="00C961E0">
        <w:rPr>
          <w:rFonts w:ascii="Times New Roman" w:hAnsi="Times New Roman" w:cs="Times New Roman"/>
          <w:sz w:val="24"/>
          <w:szCs w:val="24"/>
        </w:rPr>
        <w:t>/v</w:t>
      </w:r>
      <w:r w:rsidR="00A018FA">
        <w:rPr>
          <w:rFonts w:ascii="Times New Roman" w:hAnsi="Times New Roman" w:cs="Times New Roman"/>
          <w:sz w:val="24"/>
          <w:szCs w:val="24"/>
        </w:rPr>
        <w:t>â</w:t>
      </w:r>
      <w:r w:rsidR="001E7E71" w:rsidRPr="00C961E0">
        <w:rPr>
          <w:rFonts w:ascii="Times New Roman" w:hAnsi="Times New Roman" w:cs="Times New Roman"/>
          <w:sz w:val="24"/>
          <w:szCs w:val="24"/>
        </w:rPr>
        <w:t>ndut</w:t>
      </w:r>
      <w:r w:rsidR="00A018FA">
        <w:rPr>
          <w:rFonts w:ascii="Times New Roman" w:hAnsi="Times New Roman" w:cs="Times New Roman"/>
          <w:sz w:val="24"/>
          <w:szCs w:val="24"/>
        </w:rPr>
        <w:t>ă</w:t>
      </w:r>
      <w:r w:rsidR="001E7E71" w:rsidRPr="00C961E0">
        <w:rPr>
          <w:rFonts w:ascii="Times New Roman" w:hAnsi="Times New Roman" w:cs="Times New Roman"/>
          <w:sz w:val="24"/>
          <w:szCs w:val="24"/>
        </w:rPr>
        <w:t>, prețul tranzac</w:t>
      </w:r>
      <w:r w:rsidR="00A018FA">
        <w:rPr>
          <w:rFonts w:ascii="Times New Roman" w:hAnsi="Times New Roman" w:cs="Times New Roman"/>
          <w:sz w:val="24"/>
          <w:szCs w:val="24"/>
        </w:rPr>
        <w:t>ţ</w:t>
      </w:r>
      <w:r w:rsidR="001E7E71" w:rsidRPr="00C961E0">
        <w:rPr>
          <w:rFonts w:ascii="Times New Roman" w:hAnsi="Times New Roman" w:cs="Times New Roman"/>
          <w:sz w:val="24"/>
          <w:szCs w:val="24"/>
        </w:rPr>
        <w:t>iei, valorile totale brute pe cump</w:t>
      </w:r>
      <w:r w:rsidR="00A018FA">
        <w:rPr>
          <w:rFonts w:ascii="Times New Roman" w:hAnsi="Times New Roman" w:cs="Times New Roman"/>
          <w:sz w:val="24"/>
          <w:szCs w:val="24"/>
        </w:rPr>
        <w:t>ă</w:t>
      </w:r>
      <w:r w:rsidR="001E7E71" w:rsidRPr="00C961E0">
        <w:rPr>
          <w:rFonts w:ascii="Times New Roman" w:hAnsi="Times New Roman" w:cs="Times New Roman"/>
          <w:sz w:val="24"/>
          <w:szCs w:val="24"/>
        </w:rPr>
        <w:t>rare/</w:t>
      </w:r>
      <w:r w:rsidR="00A018FA" w:rsidRPr="00C961E0">
        <w:rPr>
          <w:rFonts w:ascii="Times New Roman" w:hAnsi="Times New Roman" w:cs="Times New Roman"/>
          <w:sz w:val="24"/>
          <w:szCs w:val="24"/>
        </w:rPr>
        <w:t>v</w:t>
      </w:r>
      <w:r w:rsidR="00A018FA">
        <w:rPr>
          <w:rFonts w:ascii="Times New Roman" w:hAnsi="Times New Roman" w:cs="Times New Roman"/>
          <w:sz w:val="24"/>
          <w:szCs w:val="24"/>
        </w:rPr>
        <w:t>â</w:t>
      </w:r>
      <w:r w:rsidR="00A018FA" w:rsidRPr="00C961E0">
        <w:rPr>
          <w:rFonts w:ascii="Times New Roman" w:hAnsi="Times New Roman" w:cs="Times New Roman"/>
          <w:sz w:val="24"/>
          <w:szCs w:val="24"/>
        </w:rPr>
        <w:t>nzare</w:t>
      </w:r>
      <w:r w:rsidR="001E7E71" w:rsidRPr="00C961E0">
        <w:rPr>
          <w:rFonts w:ascii="Times New Roman" w:hAnsi="Times New Roman" w:cs="Times New Roman"/>
          <w:sz w:val="24"/>
          <w:szCs w:val="24"/>
        </w:rPr>
        <w:t>, TVA aplicabil dup</w:t>
      </w:r>
      <w:r w:rsidR="008219F1">
        <w:rPr>
          <w:rFonts w:ascii="Times New Roman" w:hAnsi="Times New Roman" w:cs="Times New Roman"/>
          <w:sz w:val="24"/>
          <w:szCs w:val="24"/>
        </w:rPr>
        <w:t>ă</w:t>
      </w:r>
      <w:r w:rsidR="001E7E71" w:rsidRPr="00C961E0">
        <w:rPr>
          <w:rFonts w:ascii="Times New Roman" w:hAnsi="Times New Roman" w:cs="Times New Roman"/>
          <w:sz w:val="24"/>
          <w:szCs w:val="24"/>
        </w:rPr>
        <w:t xml:space="preserve"> caz, valori nete de plat</w:t>
      </w:r>
      <w:r w:rsidR="00A018FA">
        <w:rPr>
          <w:rFonts w:ascii="Times New Roman" w:hAnsi="Times New Roman" w:cs="Times New Roman"/>
          <w:sz w:val="24"/>
          <w:szCs w:val="24"/>
        </w:rPr>
        <w:t>ă</w:t>
      </w:r>
      <w:r w:rsidR="001E7E71" w:rsidRPr="00C961E0">
        <w:rPr>
          <w:rFonts w:ascii="Times New Roman" w:hAnsi="Times New Roman" w:cs="Times New Roman"/>
          <w:sz w:val="24"/>
          <w:szCs w:val="24"/>
        </w:rPr>
        <w:t>/</w:t>
      </w:r>
      <w:r w:rsidR="00A018FA">
        <w:rPr>
          <w:rFonts w:ascii="Times New Roman" w:hAnsi="Times New Roman" w:cs="Times New Roman"/>
          <w:sz w:val="24"/>
          <w:szCs w:val="24"/>
        </w:rPr>
        <w:t>î</w:t>
      </w:r>
      <w:r w:rsidR="001E7E71" w:rsidRPr="00C961E0">
        <w:rPr>
          <w:rFonts w:ascii="Times New Roman" w:hAnsi="Times New Roman" w:cs="Times New Roman"/>
          <w:sz w:val="24"/>
          <w:szCs w:val="24"/>
        </w:rPr>
        <w:t>ncasat.</w:t>
      </w:r>
      <w:r w:rsidR="001E7E71" w:rsidRPr="002202F9">
        <w:rPr>
          <w:rFonts w:ascii="Times New Roman" w:hAnsi="Times New Roman" w:cs="Times New Roman"/>
        </w:rPr>
        <w:t xml:space="preserve"> </w:t>
      </w:r>
    </w:p>
    <w:p w14:paraId="42E95F00" w14:textId="1140A3B3" w:rsidR="001E7E71" w:rsidRPr="002202F9" w:rsidRDefault="001E7E71" w:rsidP="00C961E0">
      <w:pPr>
        <w:spacing w:after="0"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</w:rPr>
        <w:t xml:space="preserve"> </w:t>
      </w:r>
      <w:r w:rsidR="0065504D" w:rsidRPr="002202F9">
        <w:rPr>
          <w:rFonts w:ascii="Times New Roman" w:hAnsi="Times New Roman" w:cs="Times New Roman"/>
          <w:b/>
          <w:bCs/>
          <w:sz w:val="24"/>
          <w:szCs w:val="24"/>
        </w:rPr>
        <w:t>Participant</w:t>
      </w:r>
      <w:r w:rsidR="0065504D" w:rsidRPr="002202F9">
        <w:rPr>
          <w:rFonts w:ascii="Times New Roman" w:hAnsi="Times New Roman" w:cs="Times New Roman"/>
          <w:sz w:val="24"/>
          <w:szCs w:val="24"/>
        </w:rPr>
        <w:t xml:space="preserve"> – operator economic din sectorul energiei electrice care semnează </w:t>
      </w:r>
      <w:r w:rsidR="0065504D" w:rsidRPr="00C961E0">
        <w:rPr>
          <w:rFonts w:ascii="Times New Roman" w:hAnsi="Times New Roman" w:cs="Times New Roman"/>
          <w:i/>
          <w:iCs/>
          <w:sz w:val="24"/>
          <w:szCs w:val="24"/>
        </w:rPr>
        <w:t xml:space="preserve">Convenția </w:t>
      </w:r>
      <w:r w:rsidR="00A018FA" w:rsidRPr="00C961E0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65504D" w:rsidRPr="00C961E0">
        <w:rPr>
          <w:rFonts w:ascii="Times New Roman" w:hAnsi="Times New Roman" w:cs="Times New Roman"/>
          <w:i/>
          <w:iCs/>
          <w:sz w:val="24"/>
          <w:szCs w:val="24"/>
        </w:rPr>
        <w:t xml:space="preserve">nică de </w:t>
      </w:r>
      <w:r w:rsidR="00A018FA" w:rsidRPr="00C961E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5504D" w:rsidRPr="00C961E0">
        <w:rPr>
          <w:rFonts w:ascii="Times New Roman" w:hAnsi="Times New Roman" w:cs="Times New Roman"/>
          <w:i/>
          <w:iCs/>
          <w:sz w:val="24"/>
          <w:szCs w:val="24"/>
        </w:rPr>
        <w:t xml:space="preserve">articipare pe </w:t>
      </w:r>
      <w:r w:rsidR="00A018FA" w:rsidRPr="00C961E0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65504D" w:rsidRPr="00C961E0">
        <w:rPr>
          <w:rFonts w:ascii="Times New Roman" w:hAnsi="Times New Roman" w:cs="Times New Roman"/>
          <w:i/>
          <w:iCs/>
          <w:sz w:val="24"/>
          <w:szCs w:val="24"/>
        </w:rPr>
        <w:t xml:space="preserve">iețele de </w:t>
      </w:r>
      <w:r w:rsidR="00A018FA" w:rsidRPr="00C961E0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65504D" w:rsidRPr="00C961E0">
        <w:rPr>
          <w:rFonts w:ascii="Times New Roman" w:hAnsi="Times New Roman" w:cs="Times New Roman"/>
          <w:i/>
          <w:iCs/>
          <w:sz w:val="24"/>
          <w:szCs w:val="24"/>
        </w:rPr>
        <w:t xml:space="preserve">nergie </w:t>
      </w:r>
      <w:r w:rsidR="00A018FA" w:rsidRPr="00C961E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5504D" w:rsidRPr="00C961E0">
        <w:rPr>
          <w:rFonts w:ascii="Times New Roman" w:hAnsi="Times New Roman" w:cs="Times New Roman"/>
          <w:i/>
          <w:iCs/>
          <w:sz w:val="24"/>
          <w:szCs w:val="24"/>
        </w:rPr>
        <w:t xml:space="preserve">dministrate de BRM </w:t>
      </w:r>
      <w:r w:rsidR="0065504D" w:rsidRPr="002202F9">
        <w:rPr>
          <w:rFonts w:ascii="Times New Roman" w:hAnsi="Times New Roman" w:cs="Times New Roman"/>
          <w:sz w:val="24"/>
          <w:szCs w:val="24"/>
        </w:rPr>
        <w:t xml:space="preserve">în scopul efectuării de tranzacții pe Piața </w:t>
      </w:r>
      <w:r w:rsidR="00DF7C7A">
        <w:rPr>
          <w:rFonts w:ascii="Times New Roman" w:hAnsi="Times New Roman" w:cs="Times New Roman"/>
          <w:sz w:val="24"/>
          <w:szCs w:val="24"/>
        </w:rPr>
        <w:t>pentru Ziua Următoare</w:t>
      </w:r>
    </w:p>
    <w:p w14:paraId="38208C57" w14:textId="08A7821F" w:rsidR="001E7E71" w:rsidRPr="00C961E0" w:rsidRDefault="001E7E71" w:rsidP="00C961E0">
      <w:pPr>
        <w:spacing w:after="0" w:line="360" w:lineRule="auto"/>
        <w:ind w:left="432" w:hanging="43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02F9">
        <w:rPr>
          <w:rFonts w:ascii="Times New Roman" w:hAnsi="Times New Roman" w:cs="Times New Roman"/>
          <w:b/>
          <w:bCs/>
          <w:sz w:val="24"/>
          <w:szCs w:val="24"/>
        </w:rPr>
        <w:t>Participant implicit</w:t>
      </w:r>
      <w:r w:rsidRPr="002202F9">
        <w:rPr>
          <w:rFonts w:ascii="Times New Roman" w:hAnsi="Times New Roman" w:cs="Times New Roman"/>
          <w:sz w:val="24"/>
          <w:szCs w:val="24"/>
        </w:rPr>
        <w:t xml:space="preserve"> - OTS, </w:t>
      </w:r>
      <w:r w:rsidR="00A018FA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 xml:space="preserve">n calitate de agent de transfer </w:t>
      </w:r>
      <w:r w:rsidR="00A018FA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ntre CCP</w:t>
      </w:r>
      <w:r w:rsidR="00A018FA">
        <w:rPr>
          <w:rFonts w:ascii="Times New Roman" w:hAnsi="Times New Roman" w:cs="Times New Roman"/>
          <w:sz w:val="24"/>
          <w:szCs w:val="24"/>
        </w:rPr>
        <w:t xml:space="preserve">-ul </w:t>
      </w:r>
      <w:r w:rsidRPr="002202F9">
        <w:rPr>
          <w:rFonts w:ascii="Times New Roman" w:hAnsi="Times New Roman" w:cs="Times New Roman"/>
          <w:sz w:val="24"/>
          <w:szCs w:val="24"/>
        </w:rPr>
        <w:t>fiec</w:t>
      </w:r>
      <w:r w:rsidR="00A018FA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rui OPEED, conform </w:t>
      </w:r>
      <w:r w:rsidRPr="00C961E0">
        <w:rPr>
          <w:rFonts w:ascii="Times New Roman" w:hAnsi="Times New Roman" w:cs="Times New Roman"/>
          <w:i/>
          <w:iCs/>
          <w:sz w:val="24"/>
          <w:szCs w:val="24"/>
        </w:rPr>
        <w:t>Acordul</w:t>
      </w:r>
      <w:r w:rsidR="00A018FA">
        <w:rPr>
          <w:rFonts w:ascii="Times New Roman" w:hAnsi="Times New Roman" w:cs="Times New Roman"/>
          <w:i/>
          <w:iCs/>
          <w:sz w:val="24"/>
          <w:szCs w:val="24"/>
        </w:rPr>
        <w:t>ului</w:t>
      </w:r>
      <w:r w:rsidRPr="00C961E0">
        <w:rPr>
          <w:rFonts w:ascii="Times New Roman" w:hAnsi="Times New Roman" w:cs="Times New Roman"/>
          <w:i/>
          <w:iCs/>
          <w:sz w:val="24"/>
          <w:szCs w:val="24"/>
        </w:rPr>
        <w:t xml:space="preserve"> privind mai mult de un Operator al Pieței de Energie Electrică Desemnat pentru zona de ofertare România</w:t>
      </w:r>
      <w:r w:rsidRPr="002202F9">
        <w:rPr>
          <w:rFonts w:ascii="Times New Roman" w:hAnsi="Times New Roman" w:cs="Times New Roman"/>
          <w:sz w:val="24"/>
          <w:szCs w:val="24"/>
        </w:rPr>
        <w:t xml:space="preserve">, în conformitate cu Articolele 45 și 57 din </w:t>
      </w:r>
      <w:r w:rsidRPr="00C961E0">
        <w:rPr>
          <w:rFonts w:ascii="Times New Roman" w:hAnsi="Times New Roman" w:cs="Times New Roman"/>
          <w:i/>
          <w:iCs/>
          <w:sz w:val="24"/>
          <w:szCs w:val="24"/>
        </w:rPr>
        <w:t xml:space="preserve">Regulamentul (UE) 2015/1222 al </w:t>
      </w:r>
      <w:r w:rsidR="00A018FA" w:rsidRPr="00C961E0">
        <w:rPr>
          <w:rFonts w:ascii="Times New Roman" w:hAnsi="Times New Roman" w:cs="Times New Roman"/>
          <w:i/>
          <w:iCs/>
          <w:sz w:val="24"/>
          <w:szCs w:val="24"/>
        </w:rPr>
        <w:t xml:space="preserve">Comisiei </w:t>
      </w:r>
      <w:r w:rsidRPr="00C961E0">
        <w:rPr>
          <w:rFonts w:ascii="Times New Roman" w:hAnsi="Times New Roman" w:cs="Times New Roman"/>
          <w:i/>
          <w:iCs/>
          <w:sz w:val="24"/>
          <w:szCs w:val="24"/>
        </w:rPr>
        <w:t xml:space="preserve">din 24 Iulie 2015 de </w:t>
      </w:r>
      <w:r w:rsidR="00A018FA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C961E0">
        <w:rPr>
          <w:rFonts w:ascii="Times New Roman" w:hAnsi="Times New Roman" w:cs="Times New Roman"/>
          <w:i/>
          <w:iCs/>
          <w:sz w:val="24"/>
          <w:szCs w:val="24"/>
        </w:rPr>
        <w:t>tabilire a unor linii directoare privind Alocarea Capacităților și Gestionarea Congestiilor.</w:t>
      </w:r>
    </w:p>
    <w:p w14:paraId="73103355" w14:textId="1B862E5E" w:rsidR="004C0C46" w:rsidRPr="00C961E0" w:rsidRDefault="004C0C46" w:rsidP="00C961E0">
      <w:pPr>
        <w:widowControl w:val="0"/>
        <w:spacing w:after="0"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C30742">
        <w:rPr>
          <w:rFonts w:ascii="Times New Roman" w:hAnsi="Times New Roman" w:cs="Times New Roman"/>
          <w:b/>
          <w:bCs/>
          <w:sz w:val="24"/>
          <w:szCs w:val="24"/>
        </w:rPr>
        <w:t xml:space="preserve">Procedura </w:t>
      </w:r>
      <w:r w:rsidR="00DF7C7A" w:rsidRPr="00C30742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F7C7A">
        <w:rPr>
          <w:rFonts w:ascii="Times New Roman" w:hAnsi="Times New Roman" w:cs="Times New Roman"/>
          <w:b/>
          <w:bCs/>
          <w:sz w:val="24"/>
          <w:szCs w:val="24"/>
        </w:rPr>
        <w:t>ZU</w:t>
      </w:r>
      <w:r w:rsidR="00DF7C7A" w:rsidRPr="00C961E0">
        <w:rPr>
          <w:rFonts w:ascii="Times New Roman" w:hAnsi="Times New Roman" w:cs="Times New Roman"/>
          <w:sz w:val="24"/>
          <w:szCs w:val="24"/>
        </w:rPr>
        <w:t xml:space="preserve">  </w:t>
      </w:r>
      <w:r w:rsidRPr="00C961E0">
        <w:rPr>
          <w:rFonts w:ascii="Times New Roman" w:hAnsi="Times New Roman" w:cs="Times New Roman"/>
          <w:sz w:val="24"/>
          <w:szCs w:val="24"/>
        </w:rPr>
        <w:t xml:space="preserve">- </w:t>
      </w:r>
      <w:r w:rsidRPr="00C961E0">
        <w:rPr>
          <w:rFonts w:ascii="Times New Roman" w:hAnsi="Times New Roman" w:cs="Times New Roman"/>
          <w:i/>
          <w:iCs/>
          <w:sz w:val="24"/>
          <w:szCs w:val="24"/>
        </w:rPr>
        <w:t xml:space="preserve">Procedura Pieței </w:t>
      </w:r>
      <w:r w:rsidR="00DF7C7A">
        <w:rPr>
          <w:rFonts w:ascii="Times New Roman" w:hAnsi="Times New Roman" w:cs="Times New Roman"/>
          <w:i/>
          <w:iCs/>
          <w:sz w:val="24"/>
          <w:szCs w:val="24"/>
        </w:rPr>
        <w:t>pentru Ziua Următoare</w:t>
      </w:r>
      <w:r w:rsidR="00DF7C7A" w:rsidRPr="00C961E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961E0">
        <w:rPr>
          <w:rFonts w:ascii="Times New Roman" w:hAnsi="Times New Roman" w:cs="Times New Roman"/>
          <w:i/>
          <w:iCs/>
          <w:sz w:val="24"/>
          <w:szCs w:val="24"/>
        </w:rPr>
        <w:t xml:space="preserve">de energie electrică cu respectarea mecanismului de cuplare prin preț a piețelor </w:t>
      </w:r>
      <w:r w:rsidRPr="00C30742">
        <w:rPr>
          <w:rFonts w:ascii="Times New Roman" w:hAnsi="Times New Roman" w:cs="Times New Roman"/>
          <w:sz w:val="24"/>
          <w:szCs w:val="24"/>
        </w:rPr>
        <w:t xml:space="preserve">elaborată de BRM stabilește condițiile în care BRM, în calitate de operator al Pieței </w:t>
      </w:r>
      <w:r w:rsidR="00DF7C7A">
        <w:rPr>
          <w:rFonts w:ascii="Times New Roman" w:hAnsi="Times New Roman" w:cs="Times New Roman"/>
          <w:sz w:val="24"/>
          <w:szCs w:val="24"/>
        </w:rPr>
        <w:t>pentru Ziua Următoare</w:t>
      </w:r>
      <w:r w:rsidR="00DF7C7A" w:rsidRPr="00C30742">
        <w:rPr>
          <w:rFonts w:ascii="Times New Roman" w:hAnsi="Times New Roman" w:cs="Times New Roman"/>
          <w:sz w:val="24"/>
          <w:szCs w:val="24"/>
        </w:rPr>
        <w:t xml:space="preserve"> </w:t>
      </w:r>
      <w:r w:rsidRPr="00C30742">
        <w:rPr>
          <w:rFonts w:ascii="Times New Roman" w:hAnsi="Times New Roman" w:cs="Times New Roman"/>
          <w:sz w:val="24"/>
          <w:szCs w:val="24"/>
        </w:rPr>
        <w:t>de energie electrică cu respectarea mecanismului de cuplare prin preț a piețelor (în continuare „</w:t>
      </w:r>
      <w:r w:rsidR="00DF7C7A" w:rsidRPr="00C30742">
        <w:rPr>
          <w:rFonts w:ascii="Times New Roman" w:hAnsi="Times New Roman" w:cs="Times New Roman"/>
          <w:sz w:val="24"/>
          <w:szCs w:val="24"/>
        </w:rPr>
        <w:t>P</w:t>
      </w:r>
      <w:r w:rsidR="00DF7C7A">
        <w:rPr>
          <w:rFonts w:ascii="Times New Roman" w:hAnsi="Times New Roman" w:cs="Times New Roman"/>
          <w:sz w:val="24"/>
          <w:szCs w:val="24"/>
        </w:rPr>
        <w:t>ZU</w:t>
      </w:r>
      <w:r w:rsidRPr="00C30742">
        <w:rPr>
          <w:rFonts w:ascii="Times New Roman" w:hAnsi="Times New Roman" w:cs="Times New Roman"/>
          <w:sz w:val="24"/>
          <w:szCs w:val="24"/>
        </w:rPr>
        <w:t>”), își va îndeplini atribuțiile și în care Participanții vor tranzacționa în cadrul Piețelor.</w:t>
      </w:r>
    </w:p>
    <w:p w14:paraId="3B92535C" w14:textId="05AD8CD1" w:rsidR="000B20BC" w:rsidRPr="002202F9" w:rsidRDefault="008831CC" w:rsidP="00C961E0">
      <w:pPr>
        <w:spacing w:after="0"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b/>
          <w:bCs/>
          <w:sz w:val="24"/>
          <w:szCs w:val="24"/>
        </w:rPr>
        <w:t>Scrisoare de garanție bancară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– </w:t>
      </w:r>
      <w:r w:rsidRPr="009D7316">
        <w:rPr>
          <w:rFonts w:ascii="Times New Roman" w:hAnsi="Times New Roman" w:cs="Times New Roman"/>
          <w:sz w:val="24"/>
          <w:szCs w:val="24"/>
        </w:rPr>
        <w:t xml:space="preserve">document prin care banca garantă se angajează în mod irevocabil și necondiționat să plătească, la prima solicitare scrisă a BRM, orice sumă până la concurența unei sume maxime stabilite de către participant, în calitate de ordonator al garanției, emisă conform modelului agreat de BRM și valabilă pentru tranzacții pe Piața </w:t>
      </w:r>
      <w:r w:rsidR="00DF7C7A">
        <w:rPr>
          <w:rFonts w:ascii="Times New Roman" w:hAnsi="Times New Roman" w:cs="Times New Roman"/>
          <w:sz w:val="24"/>
          <w:szCs w:val="24"/>
        </w:rPr>
        <w:t>pentru Ziua Următoare</w:t>
      </w:r>
      <w:r w:rsidRPr="009D7316">
        <w:rPr>
          <w:rFonts w:ascii="Times New Roman" w:hAnsi="Times New Roman" w:cs="Times New Roman"/>
          <w:sz w:val="24"/>
          <w:szCs w:val="24"/>
        </w:rPr>
        <w:t>.</w:t>
      </w:r>
    </w:p>
    <w:p w14:paraId="0F419131" w14:textId="743A32A5" w:rsidR="001E7E71" w:rsidRPr="00C961E0" w:rsidRDefault="001E7E71" w:rsidP="00C961E0">
      <w:pPr>
        <w:spacing w:after="0"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C961E0">
        <w:rPr>
          <w:rFonts w:ascii="Times New Roman" w:hAnsi="Times New Roman" w:cs="Times New Roman"/>
          <w:b/>
          <w:bCs/>
          <w:sz w:val="24"/>
          <w:szCs w:val="24"/>
        </w:rPr>
        <w:t>Tranzacţie la pre</w:t>
      </w:r>
      <w:r w:rsidR="00625420">
        <w:rPr>
          <w:rFonts w:ascii="Times New Roman" w:hAnsi="Times New Roman" w:cs="Times New Roman"/>
          <w:b/>
          <w:bCs/>
          <w:sz w:val="24"/>
          <w:szCs w:val="24"/>
        </w:rPr>
        <w:t>ţ</w:t>
      </w:r>
      <w:r w:rsidRPr="00C961E0">
        <w:rPr>
          <w:rFonts w:ascii="Times New Roman" w:hAnsi="Times New Roman" w:cs="Times New Roman"/>
          <w:b/>
          <w:bCs/>
          <w:sz w:val="24"/>
          <w:szCs w:val="24"/>
        </w:rPr>
        <w:t xml:space="preserve"> negativ</w:t>
      </w:r>
      <w:r w:rsidRPr="00C961E0">
        <w:rPr>
          <w:rFonts w:ascii="Times New Roman" w:hAnsi="Times New Roman" w:cs="Times New Roman"/>
          <w:sz w:val="24"/>
          <w:szCs w:val="24"/>
        </w:rPr>
        <w:t xml:space="preserve"> – livrare gratuită de energie electrică c</w:t>
      </w:r>
      <w:r w:rsidR="00ED6179">
        <w:rPr>
          <w:rFonts w:ascii="Times New Roman" w:hAnsi="Times New Roman" w:cs="Times New Roman"/>
          <w:sz w:val="24"/>
          <w:szCs w:val="24"/>
        </w:rPr>
        <w:t>ă</w:t>
      </w:r>
      <w:r w:rsidRPr="00C961E0">
        <w:rPr>
          <w:rFonts w:ascii="Times New Roman" w:hAnsi="Times New Roman" w:cs="Times New Roman"/>
          <w:sz w:val="24"/>
          <w:szCs w:val="24"/>
        </w:rPr>
        <w:t>tre BRM din partea</w:t>
      </w:r>
      <w:r w:rsidR="009D7316">
        <w:rPr>
          <w:rFonts w:ascii="Times New Roman" w:hAnsi="Times New Roman" w:cs="Times New Roman"/>
          <w:sz w:val="24"/>
          <w:szCs w:val="24"/>
        </w:rPr>
        <w:t xml:space="preserve"> </w:t>
      </w:r>
      <w:r w:rsidRPr="00C961E0">
        <w:rPr>
          <w:rFonts w:ascii="Times New Roman" w:hAnsi="Times New Roman" w:cs="Times New Roman"/>
          <w:sz w:val="24"/>
          <w:szCs w:val="24"/>
        </w:rPr>
        <w:t>unui participant când acesta vinde energie electrică la preţuri negative</w:t>
      </w:r>
      <w:r w:rsidR="009D7316">
        <w:rPr>
          <w:rFonts w:ascii="Times New Roman" w:hAnsi="Times New Roman" w:cs="Times New Roman"/>
          <w:sz w:val="24"/>
          <w:szCs w:val="24"/>
        </w:rPr>
        <w:t>,</w:t>
      </w:r>
      <w:r w:rsidRPr="00C961E0">
        <w:rPr>
          <w:rFonts w:ascii="Times New Roman" w:hAnsi="Times New Roman" w:cs="Times New Roman"/>
          <w:sz w:val="24"/>
          <w:szCs w:val="24"/>
        </w:rPr>
        <w:t xml:space="preserve"> și din partea BRM când este </w:t>
      </w:r>
      <w:r w:rsidR="008219F1">
        <w:rPr>
          <w:rFonts w:ascii="Times New Roman" w:hAnsi="Times New Roman" w:cs="Times New Roman"/>
          <w:sz w:val="24"/>
          <w:szCs w:val="24"/>
        </w:rPr>
        <w:t>î</w:t>
      </w:r>
      <w:r w:rsidRPr="00C961E0">
        <w:rPr>
          <w:rFonts w:ascii="Times New Roman" w:hAnsi="Times New Roman" w:cs="Times New Roman"/>
          <w:sz w:val="24"/>
          <w:szCs w:val="24"/>
        </w:rPr>
        <w:t>n pozi</w:t>
      </w:r>
      <w:r w:rsidR="008219F1">
        <w:rPr>
          <w:rFonts w:ascii="Times New Roman" w:hAnsi="Times New Roman" w:cs="Times New Roman"/>
          <w:sz w:val="24"/>
          <w:szCs w:val="24"/>
        </w:rPr>
        <w:t>ț</w:t>
      </w:r>
      <w:r w:rsidRPr="00C961E0">
        <w:rPr>
          <w:rFonts w:ascii="Times New Roman" w:hAnsi="Times New Roman" w:cs="Times New Roman"/>
          <w:sz w:val="24"/>
          <w:szCs w:val="24"/>
        </w:rPr>
        <w:t xml:space="preserve">ia de </w:t>
      </w:r>
      <w:r w:rsidR="009D7316" w:rsidRPr="00C961E0">
        <w:rPr>
          <w:rFonts w:ascii="Times New Roman" w:hAnsi="Times New Roman" w:cs="Times New Roman"/>
          <w:sz w:val="24"/>
          <w:szCs w:val="24"/>
        </w:rPr>
        <w:t>v</w:t>
      </w:r>
      <w:r w:rsidR="009D7316">
        <w:rPr>
          <w:rFonts w:ascii="Times New Roman" w:hAnsi="Times New Roman" w:cs="Times New Roman"/>
          <w:sz w:val="24"/>
          <w:szCs w:val="24"/>
        </w:rPr>
        <w:t>â</w:t>
      </w:r>
      <w:r w:rsidR="009D7316" w:rsidRPr="00C961E0">
        <w:rPr>
          <w:rFonts w:ascii="Times New Roman" w:hAnsi="Times New Roman" w:cs="Times New Roman"/>
          <w:sz w:val="24"/>
          <w:szCs w:val="24"/>
        </w:rPr>
        <w:t>nz</w:t>
      </w:r>
      <w:r w:rsidR="004F2192">
        <w:rPr>
          <w:rFonts w:ascii="Times New Roman" w:hAnsi="Times New Roman" w:cs="Times New Roman"/>
          <w:sz w:val="24"/>
          <w:szCs w:val="24"/>
        </w:rPr>
        <w:t>ă</w:t>
      </w:r>
      <w:r w:rsidR="009D7316" w:rsidRPr="00C961E0">
        <w:rPr>
          <w:rFonts w:ascii="Times New Roman" w:hAnsi="Times New Roman" w:cs="Times New Roman"/>
          <w:sz w:val="24"/>
          <w:szCs w:val="24"/>
        </w:rPr>
        <w:t xml:space="preserve">tor </w:t>
      </w:r>
      <w:r w:rsidRPr="00C961E0">
        <w:rPr>
          <w:rFonts w:ascii="Times New Roman" w:hAnsi="Times New Roman" w:cs="Times New Roman"/>
          <w:sz w:val="24"/>
          <w:szCs w:val="24"/>
        </w:rPr>
        <w:t>la preţuri negative c</w:t>
      </w:r>
      <w:r w:rsidR="004F2192">
        <w:rPr>
          <w:rFonts w:ascii="Times New Roman" w:hAnsi="Times New Roman" w:cs="Times New Roman"/>
          <w:sz w:val="24"/>
          <w:szCs w:val="24"/>
        </w:rPr>
        <w:t>ă</w:t>
      </w:r>
      <w:r w:rsidRPr="00C961E0">
        <w:rPr>
          <w:rFonts w:ascii="Times New Roman" w:hAnsi="Times New Roman" w:cs="Times New Roman"/>
          <w:sz w:val="24"/>
          <w:szCs w:val="24"/>
        </w:rPr>
        <w:t>tre un participant cumpărător de energie electrică</w:t>
      </w:r>
      <w:r w:rsidR="004F2192">
        <w:rPr>
          <w:rFonts w:ascii="Times New Roman" w:hAnsi="Times New Roman" w:cs="Times New Roman"/>
          <w:sz w:val="24"/>
          <w:szCs w:val="24"/>
        </w:rPr>
        <w:t>.</w:t>
      </w:r>
      <w:r w:rsidRPr="00C961E0">
        <w:rPr>
          <w:rFonts w:ascii="Times New Roman" w:hAnsi="Times New Roman" w:cs="Times New Roman"/>
          <w:sz w:val="24"/>
          <w:szCs w:val="24"/>
        </w:rPr>
        <w:t xml:space="preserve"> Aceast</w:t>
      </w:r>
      <w:r w:rsidR="004F2192">
        <w:rPr>
          <w:rFonts w:ascii="Times New Roman" w:hAnsi="Times New Roman" w:cs="Times New Roman"/>
          <w:sz w:val="24"/>
          <w:szCs w:val="24"/>
        </w:rPr>
        <w:t>ă</w:t>
      </w:r>
      <w:r w:rsidRPr="00C961E0">
        <w:rPr>
          <w:rFonts w:ascii="Times New Roman" w:hAnsi="Times New Roman" w:cs="Times New Roman"/>
          <w:sz w:val="24"/>
          <w:szCs w:val="24"/>
        </w:rPr>
        <w:t xml:space="preserve"> opera</w:t>
      </w:r>
      <w:r w:rsidR="004F2192">
        <w:rPr>
          <w:rFonts w:ascii="Times New Roman" w:hAnsi="Times New Roman" w:cs="Times New Roman"/>
          <w:sz w:val="24"/>
          <w:szCs w:val="24"/>
        </w:rPr>
        <w:t>ţ</w:t>
      </w:r>
      <w:r w:rsidRPr="00C961E0">
        <w:rPr>
          <w:rFonts w:ascii="Times New Roman" w:hAnsi="Times New Roman" w:cs="Times New Roman"/>
          <w:sz w:val="24"/>
          <w:szCs w:val="24"/>
        </w:rPr>
        <w:t>iune este implicit  asociată cu o prestare de servicii de achiziție efectuată de BRM când achiziţionează energie electrică la pre</w:t>
      </w:r>
      <w:r w:rsidR="004F2192">
        <w:rPr>
          <w:rFonts w:ascii="Times New Roman" w:hAnsi="Times New Roman" w:cs="Times New Roman"/>
          <w:sz w:val="24"/>
          <w:szCs w:val="24"/>
        </w:rPr>
        <w:t>ţ</w:t>
      </w:r>
      <w:r w:rsidRPr="00C961E0">
        <w:rPr>
          <w:rFonts w:ascii="Times New Roman" w:hAnsi="Times New Roman" w:cs="Times New Roman"/>
          <w:sz w:val="24"/>
          <w:szCs w:val="24"/>
        </w:rPr>
        <w:t xml:space="preserve">uri negative de la participanții vânzatori și de către participanții cumpărători când achiziţionează energie electrică la preţuri negative de la BRM; </w:t>
      </w:r>
    </w:p>
    <w:p w14:paraId="5E5BA671" w14:textId="5CDD95DF" w:rsidR="001E7E71" w:rsidRPr="00C961E0" w:rsidRDefault="001E7E71" w:rsidP="00C961E0">
      <w:pPr>
        <w:spacing w:after="0"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C961E0">
        <w:rPr>
          <w:rFonts w:ascii="Times New Roman" w:hAnsi="Times New Roman" w:cs="Times New Roman"/>
          <w:b/>
          <w:bCs/>
          <w:sz w:val="24"/>
          <w:szCs w:val="24"/>
        </w:rPr>
        <w:lastRenderedPageBreak/>
        <w:t>Zi de livrare</w:t>
      </w:r>
      <w:r w:rsidRPr="00C961E0">
        <w:rPr>
          <w:rFonts w:ascii="Times New Roman" w:hAnsi="Times New Roman" w:cs="Times New Roman"/>
          <w:sz w:val="24"/>
          <w:szCs w:val="24"/>
        </w:rPr>
        <w:t xml:space="preserve"> – ziua calendaristică în ore CET pentru care se pot efectua tranzacţii; </w:t>
      </w:r>
    </w:p>
    <w:p w14:paraId="2512BAA8" w14:textId="16EFFD59" w:rsidR="001E7E71" w:rsidRPr="002202F9" w:rsidRDefault="001E7E71" w:rsidP="003A215C">
      <w:pPr>
        <w:spacing w:after="0"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  <w:r w:rsidRPr="00C961E0">
        <w:rPr>
          <w:rFonts w:ascii="Times New Roman" w:hAnsi="Times New Roman" w:cs="Times New Roman"/>
          <w:b/>
          <w:bCs/>
          <w:sz w:val="24"/>
          <w:szCs w:val="24"/>
        </w:rPr>
        <w:t>Zi de tranzacţionare</w:t>
      </w:r>
      <w:r w:rsidRPr="00C961E0">
        <w:rPr>
          <w:rFonts w:ascii="Times New Roman" w:hAnsi="Times New Roman" w:cs="Times New Roman"/>
          <w:sz w:val="24"/>
          <w:szCs w:val="24"/>
        </w:rPr>
        <w:t xml:space="preserve"> –ziua calendaristică pe parcursul căreia este permis</w:t>
      </w:r>
      <w:r w:rsidR="008219F1">
        <w:rPr>
          <w:rFonts w:ascii="Times New Roman" w:hAnsi="Times New Roman" w:cs="Times New Roman"/>
          <w:sz w:val="24"/>
          <w:szCs w:val="24"/>
        </w:rPr>
        <w:t>ă</w:t>
      </w:r>
      <w:r w:rsidRPr="00C961E0">
        <w:rPr>
          <w:rFonts w:ascii="Times New Roman" w:hAnsi="Times New Roman" w:cs="Times New Roman"/>
          <w:sz w:val="24"/>
          <w:szCs w:val="24"/>
        </w:rPr>
        <w:t xml:space="preserve"> tranzac</w:t>
      </w:r>
      <w:r w:rsidR="00625420">
        <w:rPr>
          <w:rFonts w:ascii="Times New Roman" w:hAnsi="Times New Roman" w:cs="Times New Roman"/>
          <w:sz w:val="24"/>
          <w:szCs w:val="24"/>
        </w:rPr>
        <w:t>ţ</w:t>
      </w:r>
      <w:r w:rsidRPr="00C961E0">
        <w:rPr>
          <w:rFonts w:ascii="Times New Roman" w:hAnsi="Times New Roman" w:cs="Times New Roman"/>
          <w:sz w:val="24"/>
          <w:szCs w:val="24"/>
        </w:rPr>
        <w:t>ionarea.</w:t>
      </w:r>
    </w:p>
    <w:p w14:paraId="2DEDE04F" w14:textId="77777777" w:rsidR="003A215C" w:rsidRPr="002202F9" w:rsidRDefault="003A215C" w:rsidP="00C961E0">
      <w:pPr>
        <w:spacing w:after="0"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</w:p>
    <w:p w14:paraId="6EEB7C9A" w14:textId="394FD4A8" w:rsidR="00C36631" w:rsidRPr="002202F9" w:rsidRDefault="002844E0" w:rsidP="00C961E0">
      <w:pPr>
        <w:pStyle w:val="Heading1"/>
        <w:numPr>
          <w:ilvl w:val="0"/>
          <w:numId w:val="9"/>
        </w:numPr>
        <w:spacing w:before="0"/>
        <w:ind w:left="432" w:hanging="432"/>
      </w:pPr>
      <w:bookmarkStart w:id="10" w:name="_Toc163209720"/>
      <w:bookmarkStart w:id="11" w:name="_Toc163209721"/>
      <w:bookmarkStart w:id="12" w:name="_Toc163211429"/>
      <w:bookmarkEnd w:id="10"/>
      <w:bookmarkEnd w:id="11"/>
      <w:r w:rsidRPr="00C30742">
        <w:t>Condiții generale</w:t>
      </w:r>
      <w:bookmarkEnd w:id="12"/>
    </w:p>
    <w:p w14:paraId="4F3F35C0" w14:textId="0B0FAE42" w:rsidR="00B96E57" w:rsidRPr="002202F9" w:rsidRDefault="00692ADB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Toate tranzacțiile încheiate </w:t>
      </w:r>
      <w:r w:rsidR="00B74E1A" w:rsidRPr="002202F9">
        <w:rPr>
          <w:rFonts w:ascii="Times New Roman" w:hAnsi="Times New Roman" w:cs="Times New Roman"/>
          <w:sz w:val="24"/>
          <w:szCs w:val="24"/>
        </w:rPr>
        <w:t xml:space="preserve">pe </w:t>
      </w:r>
      <w:r w:rsidR="00FF3725">
        <w:rPr>
          <w:rFonts w:ascii="Times New Roman" w:hAnsi="Times New Roman" w:cs="Times New Roman"/>
          <w:sz w:val="24"/>
          <w:szCs w:val="24"/>
        </w:rPr>
        <w:t>PZU</w:t>
      </w:r>
      <w:r w:rsidR="00FF3725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E87E3D" w:rsidRPr="002202F9">
        <w:rPr>
          <w:rFonts w:ascii="Times New Roman" w:hAnsi="Times New Roman" w:cs="Times New Roman"/>
          <w:sz w:val="24"/>
          <w:szCs w:val="24"/>
        </w:rPr>
        <w:t>operat</w:t>
      </w:r>
      <w:r w:rsidR="00A679F5">
        <w:rPr>
          <w:rFonts w:ascii="Times New Roman" w:hAnsi="Times New Roman" w:cs="Times New Roman"/>
          <w:sz w:val="24"/>
          <w:szCs w:val="24"/>
        </w:rPr>
        <w:t>ă</w:t>
      </w:r>
      <w:r w:rsidR="00E87E3D" w:rsidRPr="002202F9">
        <w:rPr>
          <w:rFonts w:ascii="Times New Roman" w:hAnsi="Times New Roman" w:cs="Times New Roman"/>
          <w:sz w:val="24"/>
          <w:szCs w:val="24"/>
        </w:rPr>
        <w:t xml:space="preserve"> de BRM </w:t>
      </w:r>
      <w:r w:rsidRPr="002202F9">
        <w:rPr>
          <w:rFonts w:ascii="Times New Roman" w:hAnsi="Times New Roman" w:cs="Times New Roman"/>
          <w:sz w:val="24"/>
          <w:szCs w:val="24"/>
        </w:rPr>
        <w:t xml:space="preserve">sunt în mod obligatoriu </w:t>
      </w:r>
      <w:r w:rsidR="00A679F5">
        <w:rPr>
          <w:rFonts w:ascii="Times New Roman" w:hAnsi="Times New Roman" w:cs="Times New Roman"/>
          <w:sz w:val="24"/>
          <w:szCs w:val="24"/>
        </w:rPr>
        <w:t>decontate financiar potrivit</w:t>
      </w:r>
      <w:r w:rsidR="00A679F5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E87E3D" w:rsidRPr="002202F9">
        <w:rPr>
          <w:rFonts w:ascii="Times New Roman" w:hAnsi="Times New Roman" w:cs="Times New Roman"/>
          <w:sz w:val="24"/>
          <w:szCs w:val="24"/>
        </w:rPr>
        <w:t>prezentei proceduri.</w:t>
      </w:r>
    </w:p>
    <w:p w14:paraId="68151F46" w14:textId="2ED1EDA0" w:rsidR="00B74E1A" w:rsidRPr="002202F9" w:rsidRDefault="00D26CF9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Toate operațiunile de decontare sunt efectuate între </w:t>
      </w:r>
      <w:r w:rsidR="00B74E1A" w:rsidRPr="002202F9">
        <w:rPr>
          <w:rFonts w:ascii="Times New Roman" w:hAnsi="Times New Roman" w:cs="Times New Roman"/>
          <w:sz w:val="24"/>
          <w:szCs w:val="24"/>
        </w:rPr>
        <w:t>Contul Central al</w:t>
      </w:r>
      <w:r w:rsidR="009676B4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Pr="002202F9">
        <w:rPr>
          <w:rFonts w:ascii="Times New Roman" w:hAnsi="Times New Roman" w:cs="Times New Roman"/>
          <w:sz w:val="24"/>
          <w:szCs w:val="24"/>
        </w:rPr>
        <w:t xml:space="preserve">BRM, ca și </w:t>
      </w:r>
      <w:r w:rsidR="00B74E1A" w:rsidRPr="002202F9">
        <w:rPr>
          <w:rFonts w:ascii="Times New Roman" w:hAnsi="Times New Roman" w:cs="Times New Roman"/>
          <w:sz w:val="24"/>
          <w:szCs w:val="24"/>
        </w:rPr>
        <w:t>CCP</w:t>
      </w:r>
      <w:r w:rsidRPr="002202F9">
        <w:rPr>
          <w:rFonts w:ascii="Times New Roman" w:hAnsi="Times New Roman" w:cs="Times New Roman"/>
          <w:sz w:val="24"/>
          <w:szCs w:val="24"/>
        </w:rPr>
        <w:t xml:space="preserve"> și </w:t>
      </w:r>
      <w:r w:rsidR="009676B4" w:rsidRPr="002202F9">
        <w:rPr>
          <w:rFonts w:ascii="Times New Roman" w:hAnsi="Times New Roman" w:cs="Times New Roman"/>
          <w:sz w:val="24"/>
          <w:szCs w:val="24"/>
        </w:rPr>
        <w:t>contul</w:t>
      </w:r>
      <w:r w:rsidR="00B74E1A" w:rsidRPr="002202F9">
        <w:rPr>
          <w:rFonts w:ascii="Times New Roman" w:hAnsi="Times New Roman" w:cs="Times New Roman"/>
          <w:sz w:val="24"/>
          <w:szCs w:val="24"/>
        </w:rPr>
        <w:t>/conturile  bancare ale</w:t>
      </w:r>
      <w:r w:rsidR="009676B4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Pr="002202F9">
        <w:rPr>
          <w:rFonts w:ascii="Times New Roman" w:hAnsi="Times New Roman" w:cs="Times New Roman"/>
          <w:sz w:val="24"/>
          <w:szCs w:val="24"/>
        </w:rPr>
        <w:t>participant</w:t>
      </w:r>
      <w:r w:rsidR="00B74E1A" w:rsidRPr="002202F9">
        <w:rPr>
          <w:rFonts w:ascii="Times New Roman" w:hAnsi="Times New Roman" w:cs="Times New Roman"/>
          <w:sz w:val="24"/>
          <w:szCs w:val="24"/>
        </w:rPr>
        <w:t>u</w:t>
      </w:r>
      <w:r w:rsidR="004B5FC0">
        <w:rPr>
          <w:rFonts w:ascii="Times New Roman" w:hAnsi="Times New Roman" w:cs="Times New Roman"/>
          <w:sz w:val="24"/>
          <w:szCs w:val="24"/>
        </w:rPr>
        <w:t>lu</w:t>
      </w:r>
      <w:r w:rsidR="00B74E1A" w:rsidRPr="002202F9">
        <w:rPr>
          <w:rFonts w:ascii="Times New Roman" w:hAnsi="Times New Roman" w:cs="Times New Roman"/>
          <w:sz w:val="24"/>
          <w:szCs w:val="24"/>
        </w:rPr>
        <w:t>i</w:t>
      </w:r>
      <w:r w:rsidRPr="002202F9">
        <w:rPr>
          <w:rFonts w:ascii="Times New Roman" w:hAnsi="Times New Roman" w:cs="Times New Roman"/>
          <w:sz w:val="24"/>
          <w:szCs w:val="24"/>
        </w:rPr>
        <w:t xml:space="preserve"> la piață</w:t>
      </w:r>
      <w:r w:rsidR="00B74E1A" w:rsidRPr="002202F9">
        <w:rPr>
          <w:rFonts w:ascii="Times New Roman" w:hAnsi="Times New Roman" w:cs="Times New Roman"/>
          <w:sz w:val="24"/>
          <w:szCs w:val="24"/>
        </w:rPr>
        <w:t>,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Pr="004B5FC0">
        <w:rPr>
          <w:rFonts w:ascii="Times New Roman" w:hAnsi="Times New Roman" w:cs="Times New Roman"/>
          <w:sz w:val="24"/>
          <w:szCs w:val="24"/>
        </w:rPr>
        <w:t xml:space="preserve">care </w:t>
      </w:r>
      <w:r w:rsidR="00B74E1A" w:rsidRPr="004B5FC0">
        <w:rPr>
          <w:rFonts w:ascii="Times New Roman" w:hAnsi="Times New Roman" w:cs="Times New Roman"/>
          <w:sz w:val="24"/>
          <w:szCs w:val="24"/>
        </w:rPr>
        <w:t>pentru IDD</w:t>
      </w:r>
      <w:r w:rsidR="00B74E1A" w:rsidRPr="002202F9">
        <w:rPr>
          <w:rFonts w:ascii="Times New Roman" w:hAnsi="Times New Roman" w:cs="Times New Roman"/>
          <w:sz w:val="24"/>
          <w:szCs w:val="24"/>
        </w:rPr>
        <w:t xml:space="preserve"> trebuie s</w:t>
      </w:r>
      <w:r w:rsidR="008219F1">
        <w:rPr>
          <w:rFonts w:ascii="Times New Roman" w:hAnsi="Times New Roman" w:cs="Times New Roman"/>
          <w:sz w:val="24"/>
          <w:szCs w:val="24"/>
        </w:rPr>
        <w:t>ă</w:t>
      </w:r>
      <w:r w:rsidR="00B74E1A" w:rsidRPr="002202F9">
        <w:rPr>
          <w:rFonts w:ascii="Times New Roman" w:hAnsi="Times New Roman" w:cs="Times New Roman"/>
          <w:sz w:val="24"/>
          <w:szCs w:val="24"/>
        </w:rPr>
        <w:t xml:space="preserve"> aib</w:t>
      </w:r>
      <w:r w:rsidR="008219F1">
        <w:rPr>
          <w:rFonts w:ascii="Times New Roman" w:hAnsi="Times New Roman" w:cs="Times New Roman"/>
          <w:sz w:val="24"/>
          <w:szCs w:val="24"/>
        </w:rPr>
        <w:t>ă</w:t>
      </w:r>
      <w:r w:rsidR="00B74E1A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AA5458" w:rsidRPr="002202F9">
        <w:rPr>
          <w:rFonts w:ascii="Times New Roman" w:hAnsi="Times New Roman" w:cs="Times New Roman"/>
          <w:sz w:val="24"/>
          <w:szCs w:val="24"/>
        </w:rPr>
        <w:t>încheiat un mandat de direct debit la o bancă de decontare în favoarea BRM</w:t>
      </w:r>
      <w:r w:rsidRPr="002202F9">
        <w:rPr>
          <w:rFonts w:ascii="Times New Roman" w:hAnsi="Times New Roman" w:cs="Times New Roman"/>
          <w:sz w:val="24"/>
          <w:szCs w:val="24"/>
        </w:rPr>
        <w:t>.</w:t>
      </w:r>
      <w:r w:rsidR="00B74E1A" w:rsidRPr="00220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D0CE9" w14:textId="007CD3BC" w:rsidR="008C5354" w:rsidRPr="002202F9" w:rsidRDefault="00B74E1A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Participantul </w:t>
      </w:r>
      <w:r w:rsidRPr="008373FF">
        <w:rPr>
          <w:rFonts w:ascii="Times New Roman" w:hAnsi="Times New Roman" w:cs="Times New Roman"/>
          <w:sz w:val="24"/>
          <w:szCs w:val="24"/>
        </w:rPr>
        <w:t>funizeaz</w:t>
      </w:r>
      <w:r w:rsidR="00625420" w:rsidRPr="008373FF">
        <w:rPr>
          <w:rFonts w:ascii="Times New Roman" w:hAnsi="Times New Roman" w:cs="Times New Roman"/>
          <w:sz w:val="24"/>
          <w:szCs w:val="24"/>
        </w:rPr>
        <w:t>ă</w:t>
      </w:r>
      <w:r w:rsidRPr="008373FF">
        <w:rPr>
          <w:rFonts w:ascii="Times New Roman" w:hAnsi="Times New Roman" w:cs="Times New Roman"/>
          <w:sz w:val="24"/>
          <w:szCs w:val="24"/>
        </w:rPr>
        <w:t xml:space="preserve"> </w:t>
      </w:r>
      <w:r w:rsidR="00625420" w:rsidRPr="008373FF">
        <w:rPr>
          <w:rFonts w:ascii="Times New Roman" w:hAnsi="Times New Roman" w:cs="Times New Roman"/>
          <w:sz w:val="24"/>
          <w:szCs w:val="24"/>
        </w:rPr>
        <w:t>î</w:t>
      </w:r>
      <w:r w:rsidR="008C5354" w:rsidRPr="008373FF">
        <w:rPr>
          <w:rFonts w:ascii="Times New Roman" w:hAnsi="Times New Roman" w:cs="Times New Roman"/>
          <w:sz w:val="24"/>
          <w:szCs w:val="24"/>
        </w:rPr>
        <w:t>n scris</w:t>
      </w:r>
      <w:r w:rsidR="008373FF" w:rsidRPr="008373FF">
        <w:rPr>
          <w:rFonts w:ascii="Times New Roman" w:hAnsi="Times New Roman" w:cs="Times New Roman"/>
          <w:sz w:val="24"/>
          <w:szCs w:val="24"/>
        </w:rPr>
        <w:t xml:space="preserve">, </w:t>
      </w:r>
      <w:r w:rsidR="004B5FC0" w:rsidRPr="008373FF">
        <w:rPr>
          <w:rFonts w:ascii="Times New Roman" w:hAnsi="Times New Roman" w:cs="Times New Roman"/>
          <w:sz w:val="24"/>
          <w:szCs w:val="24"/>
        </w:rPr>
        <w:t>în</w:t>
      </w:r>
      <w:r w:rsidR="002F4C33" w:rsidRPr="008373FF">
        <w:rPr>
          <w:rFonts w:ascii="Times New Roman" w:hAnsi="Times New Roman" w:cs="Times New Roman"/>
          <w:sz w:val="24"/>
          <w:szCs w:val="24"/>
        </w:rPr>
        <w:t xml:space="preserve"> avans</w:t>
      </w:r>
      <w:r w:rsidR="004B5FC0" w:rsidRPr="008373FF">
        <w:rPr>
          <w:rFonts w:ascii="Times New Roman" w:hAnsi="Times New Roman" w:cs="Times New Roman"/>
          <w:sz w:val="24"/>
          <w:szCs w:val="24"/>
        </w:rPr>
        <w:t xml:space="preserve"> către</w:t>
      </w:r>
      <w:r w:rsidR="002F4C33" w:rsidRPr="008373FF">
        <w:rPr>
          <w:rFonts w:ascii="Times New Roman" w:hAnsi="Times New Roman" w:cs="Times New Roman"/>
          <w:sz w:val="24"/>
          <w:szCs w:val="24"/>
        </w:rPr>
        <w:t xml:space="preserve"> </w:t>
      </w:r>
      <w:r w:rsidRPr="008373FF">
        <w:rPr>
          <w:rFonts w:ascii="Times New Roman" w:hAnsi="Times New Roman" w:cs="Times New Roman"/>
          <w:sz w:val="24"/>
          <w:szCs w:val="24"/>
        </w:rPr>
        <w:t xml:space="preserve">BRM </w:t>
      </w:r>
      <w:r w:rsidR="008C5354" w:rsidRPr="008373FF">
        <w:rPr>
          <w:rFonts w:ascii="Times New Roman" w:hAnsi="Times New Roman" w:cs="Times New Roman"/>
          <w:sz w:val="24"/>
          <w:szCs w:val="24"/>
        </w:rPr>
        <w:t>informa</w:t>
      </w:r>
      <w:r w:rsidR="004B5FC0" w:rsidRPr="008373FF">
        <w:rPr>
          <w:rFonts w:ascii="Times New Roman" w:hAnsi="Times New Roman" w:cs="Times New Roman"/>
          <w:sz w:val="24"/>
          <w:szCs w:val="24"/>
        </w:rPr>
        <w:t>ţ</w:t>
      </w:r>
      <w:r w:rsidR="008C5354" w:rsidRPr="008373FF">
        <w:rPr>
          <w:rFonts w:ascii="Times New Roman" w:hAnsi="Times New Roman" w:cs="Times New Roman"/>
          <w:sz w:val="24"/>
          <w:szCs w:val="24"/>
        </w:rPr>
        <w:t>iile</w:t>
      </w:r>
      <w:r w:rsidR="002F4C33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625420">
        <w:rPr>
          <w:rFonts w:ascii="Times New Roman" w:hAnsi="Times New Roman" w:cs="Times New Roman"/>
          <w:sz w:val="24"/>
          <w:szCs w:val="24"/>
        </w:rPr>
        <w:t>ş</w:t>
      </w:r>
      <w:r w:rsidR="002F4C33" w:rsidRPr="002202F9">
        <w:rPr>
          <w:rFonts w:ascii="Times New Roman" w:hAnsi="Times New Roman" w:cs="Times New Roman"/>
          <w:sz w:val="24"/>
          <w:szCs w:val="24"/>
        </w:rPr>
        <w:t xml:space="preserve">i documentele </w:t>
      </w:r>
      <w:r w:rsidR="008C5354" w:rsidRPr="002202F9">
        <w:rPr>
          <w:rFonts w:ascii="Times New Roman" w:hAnsi="Times New Roman" w:cs="Times New Roman"/>
          <w:sz w:val="24"/>
          <w:szCs w:val="24"/>
        </w:rPr>
        <w:t xml:space="preserve">referitoare </w:t>
      </w:r>
      <w:r w:rsidR="002F4C33" w:rsidRPr="002202F9">
        <w:rPr>
          <w:rFonts w:ascii="Times New Roman" w:hAnsi="Times New Roman" w:cs="Times New Roman"/>
          <w:sz w:val="24"/>
          <w:szCs w:val="24"/>
        </w:rPr>
        <w:t>l</w:t>
      </w:r>
      <w:r w:rsidR="008C5354" w:rsidRPr="002202F9">
        <w:rPr>
          <w:rFonts w:ascii="Times New Roman" w:hAnsi="Times New Roman" w:cs="Times New Roman"/>
          <w:sz w:val="24"/>
          <w:szCs w:val="24"/>
        </w:rPr>
        <w:t>a conturile bancare ce urmeaz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="008C5354" w:rsidRPr="002202F9">
        <w:rPr>
          <w:rFonts w:ascii="Times New Roman" w:hAnsi="Times New Roman" w:cs="Times New Roman"/>
          <w:sz w:val="24"/>
          <w:szCs w:val="24"/>
        </w:rPr>
        <w:t xml:space="preserve"> a fi utilizate </w:t>
      </w:r>
      <w:r w:rsidR="008373FF">
        <w:rPr>
          <w:rFonts w:ascii="Times New Roman" w:hAnsi="Times New Roman" w:cs="Times New Roman"/>
          <w:sz w:val="24"/>
          <w:szCs w:val="24"/>
        </w:rPr>
        <w:t>î</w:t>
      </w:r>
      <w:r w:rsidR="008C5354" w:rsidRPr="002202F9">
        <w:rPr>
          <w:rFonts w:ascii="Times New Roman" w:hAnsi="Times New Roman" w:cs="Times New Roman"/>
          <w:sz w:val="24"/>
          <w:szCs w:val="24"/>
        </w:rPr>
        <w:t>n rela</w:t>
      </w:r>
      <w:r w:rsidR="004B5FC0">
        <w:rPr>
          <w:rFonts w:ascii="Times New Roman" w:hAnsi="Times New Roman" w:cs="Times New Roman"/>
          <w:sz w:val="24"/>
          <w:szCs w:val="24"/>
        </w:rPr>
        <w:t>ţ</w:t>
      </w:r>
      <w:r w:rsidR="008C5354" w:rsidRPr="002202F9">
        <w:rPr>
          <w:rFonts w:ascii="Times New Roman" w:hAnsi="Times New Roman" w:cs="Times New Roman"/>
          <w:sz w:val="24"/>
          <w:szCs w:val="24"/>
        </w:rPr>
        <w:t>ie cu BRM pentru opera</w:t>
      </w:r>
      <w:r w:rsidR="004B5FC0">
        <w:rPr>
          <w:rFonts w:ascii="Times New Roman" w:hAnsi="Times New Roman" w:cs="Times New Roman"/>
          <w:sz w:val="24"/>
          <w:szCs w:val="24"/>
        </w:rPr>
        <w:t>ţ</w:t>
      </w:r>
      <w:r w:rsidR="008C5354" w:rsidRPr="002202F9">
        <w:rPr>
          <w:rFonts w:ascii="Times New Roman" w:hAnsi="Times New Roman" w:cs="Times New Roman"/>
          <w:sz w:val="24"/>
          <w:szCs w:val="24"/>
        </w:rPr>
        <w:t>iunile de decontare, respectiv creditare/debitare, dup</w:t>
      </w:r>
      <w:r w:rsidR="008219F1">
        <w:rPr>
          <w:rFonts w:ascii="Times New Roman" w:hAnsi="Times New Roman" w:cs="Times New Roman"/>
          <w:sz w:val="24"/>
          <w:szCs w:val="24"/>
        </w:rPr>
        <w:t>ă</w:t>
      </w:r>
      <w:r w:rsidR="008C5354" w:rsidRPr="002202F9">
        <w:rPr>
          <w:rFonts w:ascii="Times New Roman" w:hAnsi="Times New Roman" w:cs="Times New Roman"/>
          <w:sz w:val="24"/>
          <w:szCs w:val="24"/>
        </w:rPr>
        <w:t xml:space="preserve"> caz. </w:t>
      </w:r>
    </w:p>
    <w:p w14:paraId="3B09E7BD" w14:textId="1E1AB507" w:rsidR="008C5354" w:rsidRPr="002202F9" w:rsidRDefault="008C5354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Pentru opera</w:t>
      </w:r>
      <w:r w:rsidR="004B5FC0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iunile de debitare direct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, mandatul de direct debit asigurat de Participant va fi emis </w:t>
      </w:r>
      <w:r w:rsidR="009F5D04" w:rsidRPr="002202F9">
        <w:rPr>
          <w:rFonts w:ascii="Times New Roman" w:hAnsi="Times New Roman" w:cs="Times New Roman"/>
          <w:sz w:val="24"/>
          <w:szCs w:val="24"/>
        </w:rPr>
        <w:t>de una din b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="009F5D04" w:rsidRPr="002202F9">
        <w:rPr>
          <w:rFonts w:ascii="Times New Roman" w:hAnsi="Times New Roman" w:cs="Times New Roman"/>
          <w:sz w:val="24"/>
          <w:szCs w:val="24"/>
        </w:rPr>
        <w:t>ncile participante la schema de debitare direct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="009F5D04" w:rsidRPr="002202F9">
        <w:rPr>
          <w:rFonts w:ascii="Times New Roman" w:hAnsi="Times New Roman" w:cs="Times New Roman"/>
          <w:sz w:val="24"/>
          <w:szCs w:val="24"/>
        </w:rPr>
        <w:t xml:space="preserve"> B2B SEPA RON, schema operat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="009F5D04" w:rsidRPr="002202F9">
        <w:rPr>
          <w:rFonts w:ascii="Times New Roman" w:hAnsi="Times New Roman" w:cs="Times New Roman"/>
          <w:sz w:val="24"/>
          <w:szCs w:val="24"/>
        </w:rPr>
        <w:t xml:space="preserve"> de Transfond. Lista b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="009F5D04" w:rsidRPr="002202F9">
        <w:rPr>
          <w:rFonts w:ascii="Times New Roman" w:hAnsi="Times New Roman" w:cs="Times New Roman"/>
          <w:sz w:val="24"/>
          <w:szCs w:val="24"/>
        </w:rPr>
        <w:t>ncilor participante este disponibil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="009F5D04" w:rsidRPr="002202F9">
        <w:rPr>
          <w:rFonts w:ascii="Times New Roman" w:hAnsi="Times New Roman" w:cs="Times New Roman"/>
          <w:sz w:val="24"/>
          <w:szCs w:val="24"/>
        </w:rPr>
        <w:t xml:space="preserve"> pe website-ul Asocia</w:t>
      </w:r>
      <w:r w:rsidR="004B5FC0">
        <w:rPr>
          <w:rFonts w:ascii="Times New Roman" w:hAnsi="Times New Roman" w:cs="Times New Roman"/>
          <w:sz w:val="24"/>
          <w:szCs w:val="24"/>
        </w:rPr>
        <w:t>ţ</w:t>
      </w:r>
      <w:r w:rsidR="009F5D04" w:rsidRPr="002202F9">
        <w:rPr>
          <w:rFonts w:ascii="Times New Roman" w:hAnsi="Times New Roman" w:cs="Times New Roman"/>
          <w:sz w:val="24"/>
          <w:szCs w:val="24"/>
        </w:rPr>
        <w:t xml:space="preserve">iei </w:t>
      </w:r>
      <w:r w:rsidR="004B5FC0" w:rsidRPr="002202F9">
        <w:rPr>
          <w:rFonts w:ascii="Times New Roman" w:hAnsi="Times New Roman" w:cs="Times New Roman"/>
          <w:sz w:val="24"/>
          <w:szCs w:val="24"/>
        </w:rPr>
        <w:t>Rom</w:t>
      </w:r>
      <w:r w:rsidR="004B5FC0">
        <w:rPr>
          <w:rFonts w:ascii="Times New Roman" w:hAnsi="Times New Roman" w:cs="Times New Roman"/>
          <w:sz w:val="24"/>
          <w:szCs w:val="24"/>
        </w:rPr>
        <w:t>â</w:t>
      </w:r>
      <w:r w:rsidR="004B5FC0" w:rsidRPr="002202F9">
        <w:rPr>
          <w:rFonts w:ascii="Times New Roman" w:hAnsi="Times New Roman" w:cs="Times New Roman"/>
          <w:sz w:val="24"/>
          <w:szCs w:val="24"/>
        </w:rPr>
        <w:t xml:space="preserve">ne </w:t>
      </w:r>
      <w:r w:rsidR="009F5D04" w:rsidRPr="002202F9">
        <w:rPr>
          <w:rFonts w:ascii="Times New Roman" w:hAnsi="Times New Roman" w:cs="Times New Roman"/>
          <w:sz w:val="24"/>
          <w:szCs w:val="24"/>
        </w:rPr>
        <w:t>a B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="009F5D04" w:rsidRPr="002202F9">
        <w:rPr>
          <w:rFonts w:ascii="Times New Roman" w:hAnsi="Times New Roman" w:cs="Times New Roman"/>
          <w:sz w:val="24"/>
          <w:szCs w:val="24"/>
        </w:rPr>
        <w:t>ncilor la sec</w:t>
      </w:r>
      <w:r w:rsidR="004B5FC0">
        <w:rPr>
          <w:rFonts w:ascii="Times New Roman" w:hAnsi="Times New Roman" w:cs="Times New Roman"/>
          <w:sz w:val="24"/>
          <w:szCs w:val="24"/>
        </w:rPr>
        <w:t>ţ</w:t>
      </w:r>
      <w:r w:rsidR="009F5D04" w:rsidRPr="002202F9">
        <w:rPr>
          <w:rFonts w:ascii="Times New Roman" w:hAnsi="Times New Roman" w:cs="Times New Roman"/>
          <w:sz w:val="24"/>
          <w:szCs w:val="24"/>
        </w:rPr>
        <w:t>iunea dedicat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="009F5D04" w:rsidRPr="002202F9">
        <w:rPr>
          <w:rFonts w:ascii="Times New Roman" w:hAnsi="Times New Roman" w:cs="Times New Roman"/>
          <w:sz w:val="24"/>
          <w:szCs w:val="24"/>
        </w:rPr>
        <w:t xml:space="preserve"> acestor opera</w:t>
      </w:r>
      <w:r w:rsidR="004B5FC0">
        <w:rPr>
          <w:rFonts w:ascii="Times New Roman" w:hAnsi="Times New Roman" w:cs="Times New Roman"/>
          <w:sz w:val="24"/>
          <w:szCs w:val="24"/>
        </w:rPr>
        <w:t>ţ</w:t>
      </w:r>
      <w:r w:rsidR="009F5D04" w:rsidRPr="002202F9">
        <w:rPr>
          <w:rFonts w:ascii="Times New Roman" w:hAnsi="Times New Roman" w:cs="Times New Roman"/>
          <w:sz w:val="24"/>
          <w:szCs w:val="24"/>
        </w:rPr>
        <w:t xml:space="preserve">iuni. </w:t>
      </w:r>
    </w:p>
    <w:p w14:paraId="0B5A16C8" w14:textId="739CDD7C" w:rsidR="00E87E3D" w:rsidRPr="002202F9" w:rsidRDefault="00E87E3D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Pentru a </w:t>
      </w:r>
      <w:r w:rsidR="009F5D04" w:rsidRPr="002202F9">
        <w:rPr>
          <w:rFonts w:ascii="Times New Roman" w:hAnsi="Times New Roman" w:cs="Times New Roman"/>
          <w:sz w:val="24"/>
          <w:szCs w:val="24"/>
        </w:rPr>
        <w:t xml:space="preserve">putea participa </w:t>
      </w:r>
      <w:r w:rsidR="00B74E1A" w:rsidRPr="002202F9">
        <w:rPr>
          <w:rFonts w:ascii="Times New Roman" w:hAnsi="Times New Roman" w:cs="Times New Roman"/>
          <w:sz w:val="24"/>
          <w:szCs w:val="24"/>
        </w:rPr>
        <w:t xml:space="preserve">la </w:t>
      </w:r>
      <w:r w:rsidR="00FF3725">
        <w:rPr>
          <w:rFonts w:ascii="Times New Roman" w:hAnsi="Times New Roman" w:cs="Times New Roman"/>
          <w:sz w:val="24"/>
          <w:szCs w:val="24"/>
        </w:rPr>
        <w:t>PZU</w:t>
      </w:r>
      <w:r w:rsidRPr="002202F9">
        <w:rPr>
          <w:rFonts w:ascii="Times New Roman" w:hAnsi="Times New Roman" w:cs="Times New Roman"/>
          <w:sz w:val="24"/>
          <w:szCs w:val="24"/>
        </w:rPr>
        <w:t xml:space="preserve">, un </w:t>
      </w:r>
      <w:r w:rsidR="009F5D04" w:rsidRPr="002202F9">
        <w:rPr>
          <w:rFonts w:ascii="Times New Roman" w:hAnsi="Times New Roman" w:cs="Times New Roman"/>
          <w:sz w:val="24"/>
          <w:szCs w:val="24"/>
        </w:rPr>
        <w:t>poten</w:t>
      </w:r>
      <w:r w:rsidR="004B5FC0">
        <w:rPr>
          <w:rFonts w:ascii="Times New Roman" w:hAnsi="Times New Roman" w:cs="Times New Roman"/>
          <w:sz w:val="24"/>
          <w:szCs w:val="24"/>
        </w:rPr>
        <w:t>ţ</w:t>
      </w:r>
      <w:r w:rsidR="009F5D04" w:rsidRPr="002202F9">
        <w:rPr>
          <w:rFonts w:ascii="Times New Roman" w:hAnsi="Times New Roman" w:cs="Times New Roman"/>
          <w:sz w:val="24"/>
          <w:szCs w:val="24"/>
        </w:rPr>
        <w:t xml:space="preserve">ial </w:t>
      </w:r>
      <w:r w:rsidRPr="002202F9">
        <w:rPr>
          <w:rFonts w:ascii="Times New Roman" w:hAnsi="Times New Roman" w:cs="Times New Roman"/>
          <w:sz w:val="24"/>
          <w:szCs w:val="24"/>
        </w:rPr>
        <w:t xml:space="preserve">participant trebuie să </w:t>
      </w:r>
      <w:r w:rsidR="004B5FC0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ndeplineasc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4B5FC0" w:rsidRPr="002202F9">
        <w:rPr>
          <w:rFonts w:ascii="Times New Roman" w:hAnsi="Times New Roman" w:cs="Times New Roman"/>
          <w:sz w:val="24"/>
          <w:szCs w:val="24"/>
        </w:rPr>
        <w:t xml:space="preserve">cumulativ </w:t>
      </w:r>
      <w:r w:rsidRPr="002202F9">
        <w:rPr>
          <w:rFonts w:ascii="Times New Roman" w:hAnsi="Times New Roman" w:cs="Times New Roman"/>
          <w:sz w:val="24"/>
          <w:szCs w:val="24"/>
        </w:rPr>
        <w:t>urm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>toarele condi</w:t>
      </w:r>
      <w:r w:rsidR="004B5FC0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ii:</w:t>
      </w:r>
    </w:p>
    <w:p w14:paraId="1A28A6EA" w14:textId="63E9D123" w:rsidR="00E87E3D" w:rsidRPr="002202F9" w:rsidRDefault="00E87E3D" w:rsidP="00C961E0">
      <w:pPr>
        <w:pStyle w:val="ListParagraph"/>
        <w:numPr>
          <w:ilvl w:val="2"/>
          <w:numId w:val="3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s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4B5FC0" w:rsidRPr="002202F9">
        <w:rPr>
          <w:rFonts w:ascii="Times New Roman" w:hAnsi="Times New Roman" w:cs="Times New Roman"/>
          <w:sz w:val="24"/>
          <w:szCs w:val="24"/>
        </w:rPr>
        <w:t>dob</w:t>
      </w:r>
      <w:r w:rsidR="004B5FC0">
        <w:rPr>
          <w:rFonts w:ascii="Times New Roman" w:hAnsi="Times New Roman" w:cs="Times New Roman"/>
          <w:sz w:val="24"/>
          <w:szCs w:val="24"/>
        </w:rPr>
        <w:t>â</w:t>
      </w:r>
      <w:r w:rsidR="004B5FC0" w:rsidRPr="002202F9">
        <w:rPr>
          <w:rFonts w:ascii="Times New Roman" w:hAnsi="Times New Roman" w:cs="Times New Roman"/>
          <w:sz w:val="24"/>
          <w:szCs w:val="24"/>
        </w:rPr>
        <w:t>ndeasc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="004B5FC0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4B5FC0">
        <w:rPr>
          <w:rFonts w:ascii="Times New Roman" w:hAnsi="Times New Roman" w:cs="Times New Roman"/>
          <w:sz w:val="24"/>
          <w:szCs w:val="24"/>
        </w:rPr>
        <w:t>ş</w:t>
      </w:r>
      <w:r w:rsidR="00C3598E" w:rsidRPr="002202F9">
        <w:rPr>
          <w:rFonts w:ascii="Times New Roman" w:hAnsi="Times New Roman" w:cs="Times New Roman"/>
          <w:sz w:val="24"/>
          <w:szCs w:val="24"/>
        </w:rPr>
        <w:t>i s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="00C3598E" w:rsidRPr="002202F9">
        <w:rPr>
          <w:rFonts w:ascii="Times New Roman" w:hAnsi="Times New Roman" w:cs="Times New Roman"/>
          <w:sz w:val="24"/>
          <w:szCs w:val="24"/>
        </w:rPr>
        <w:t xml:space="preserve"> men</w:t>
      </w:r>
      <w:r w:rsidR="004B5FC0">
        <w:rPr>
          <w:rFonts w:ascii="Times New Roman" w:hAnsi="Times New Roman" w:cs="Times New Roman"/>
          <w:sz w:val="24"/>
          <w:szCs w:val="24"/>
        </w:rPr>
        <w:t>ţ</w:t>
      </w:r>
      <w:r w:rsidR="00C3598E" w:rsidRPr="002202F9">
        <w:rPr>
          <w:rFonts w:ascii="Times New Roman" w:hAnsi="Times New Roman" w:cs="Times New Roman"/>
          <w:sz w:val="24"/>
          <w:szCs w:val="24"/>
        </w:rPr>
        <w:t>in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calitatea de participant </w:t>
      </w:r>
      <w:r w:rsidR="004B5FC0">
        <w:rPr>
          <w:rFonts w:ascii="Times New Roman" w:hAnsi="Times New Roman" w:cs="Times New Roman"/>
          <w:sz w:val="24"/>
          <w:szCs w:val="24"/>
        </w:rPr>
        <w:t>î</w:t>
      </w:r>
      <w:r w:rsidR="00C3598E" w:rsidRPr="002202F9">
        <w:rPr>
          <w:rFonts w:ascii="Times New Roman" w:hAnsi="Times New Roman" w:cs="Times New Roman"/>
          <w:sz w:val="24"/>
          <w:szCs w:val="24"/>
        </w:rPr>
        <w:t xml:space="preserve">n acord cu Procedura </w:t>
      </w:r>
      <w:r w:rsidR="00FF3725">
        <w:rPr>
          <w:rFonts w:ascii="Times New Roman" w:hAnsi="Times New Roman" w:cs="Times New Roman"/>
          <w:sz w:val="24"/>
          <w:szCs w:val="24"/>
        </w:rPr>
        <w:t>PZU</w:t>
      </w:r>
      <w:r w:rsidR="004B5FC0" w:rsidRPr="00BA2C55">
        <w:rPr>
          <w:rFonts w:ascii="Times New Roman" w:hAnsi="Times New Roman" w:cs="Times New Roman"/>
          <w:sz w:val="24"/>
          <w:szCs w:val="24"/>
        </w:rPr>
        <w:t>;</w:t>
      </w:r>
    </w:p>
    <w:p w14:paraId="24981196" w14:textId="4721A9AA" w:rsidR="00E87E3D" w:rsidRPr="002202F9" w:rsidRDefault="00E87E3D" w:rsidP="00C961E0">
      <w:pPr>
        <w:pStyle w:val="ListParagraph"/>
        <w:numPr>
          <w:ilvl w:val="2"/>
          <w:numId w:val="3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s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4B5FC0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 xml:space="preserve">ncheie </w:t>
      </w:r>
      <w:r w:rsidR="004B5FC0">
        <w:rPr>
          <w:rFonts w:ascii="Times New Roman" w:hAnsi="Times New Roman" w:cs="Times New Roman"/>
          <w:sz w:val="24"/>
          <w:szCs w:val="24"/>
        </w:rPr>
        <w:t>ş</w:t>
      </w:r>
      <w:r w:rsidR="00C3598E" w:rsidRPr="002202F9">
        <w:rPr>
          <w:rFonts w:ascii="Times New Roman" w:hAnsi="Times New Roman" w:cs="Times New Roman"/>
          <w:sz w:val="24"/>
          <w:szCs w:val="24"/>
        </w:rPr>
        <w:t>i s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="00C3598E" w:rsidRPr="002202F9">
        <w:rPr>
          <w:rFonts w:ascii="Times New Roman" w:hAnsi="Times New Roman" w:cs="Times New Roman"/>
          <w:sz w:val="24"/>
          <w:szCs w:val="24"/>
        </w:rPr>
        <w:t xml:space="preserve"> men</w:t>
      </w:r>
      <w:r w:rsidR="004B5FC0">
        <w:rPr>
          <w:rFonts w:ascii="Times New Roman" w:hAnsi="Times New Roman" w:cs="Times New Roman"/>
          <w:sz w:val="24"/>
          <w:szCs w:val="24"/>
        </w:rPr>
        <w:t>ţ</w:t>
      </w:r>
      <w:r w:rsidR="00C3598E" w:rsidRPr="002202F9">
        <w:rPr>
          <w:rFonts w:ascii="Times New Roman" w:hAnsi="Times New Roman" w:cs="Times New Roman"/>
          <w:sz w:val="24"/>
          <w:szCs w:val="24"/>
        </w:rPr>
        <w:t>in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="00BA432E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4B5FC0">
        <w:rPr>
          <w:rFonts w:ascii="Times New Roman" w:hAnsi="Times New Roman" w:cs="Times New Roman"/>
          <w:sz w:val="24"/>
          <w:szCs w:val="24"/>
        </w:rPr>
        <w:t>î</w:t>
      </w:r>
      <w:r w:rsidR="00BA432E" w:rsidRPr="002202F9">
        <w:rPr>
          <w:rFonts w:ascii="Times New Roman" w:hAnsi="Times New Roman" w:cs="Times New Roman"/>
          <w:sz w:val="24"/>
          <w:szCs w:val="24"/>
        </w:rPr>
        <w:t xml:space="preserve">n mod continuu un </w:t>
      </w:r>
      <w:r w:rsidRPr="002202F9">
        <w:rPr>
          <w:rFonts w:ascii="Times New Roman" w:hAnsi="Times New Roman" w:cs="Times New Roman"/>
          <w:sz w:val="24"/>
          <w:szCs w:val="24"/>
        </w:rPr>
        <w:t xml:space="preserve">mandat de </w:t>
      </w:r>
      <w:r w:rsidR="00C3598E" w:rsidRPr="002202F9">
        <w:rPr>
          <w:rFonts w:ascii="Times New Roman" w:hAnsi="Times New Roman" w:cs="Times New Roman"/>
          <w:sz w:val="24"/>
          <w:szCs w:val="24"/>
        </w:rPr>
        <w:t>debitare direct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="00A679F5">
        <w:rPr>
          <w:rFonts w:ascii="Times New Roman" w:hAnsi="Times New Roman" w:cs="Times New Roman"/>
          <w:sz w:val="24"/>
          <w:szCs w:val="24"/>
        </w:rPr>
        <w:t xml:space="preserve"> acordat BRM</w:t>
      </w:r>
      <w:r w:rsidR="004B5FC0" w:rsidRPr="00BA2C5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E77244" w14:textId="260EA25F" w:rsidR="00E87E3D" w:rsidRPr="002202F9" w:rsidRDefault="00E87E3D" w:rsidP="00C961E0">
      <w:pPr>
        <w:pStyle w:val="ListParagraph"/>
        <w:numPr>
          <w:ilvl w:val="2"/>
          <w:numId w:val="3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s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BA432E" w:rsidRPr="002202F9">
        <w:rPr>
          <w:rFonts w:ascii="Times New Roman" w:hAnsi="Times New Roman" w:cs="Times New Roman"/>
          <w:sz w:val="24"/>
          <w:szCs w:val="24"/>
        </w:rPr>
        <w:t>de</w:t>
      </w:r>
      <w:r w:rsidR="004B5FC0">
        <w:rPr>
          <w:rFonts w:ascii="Times New Roman" w:hAnsi="Times New Roman" w:cs="Times New Roman"/>
          <w:sz w:val="24"/>
          <w:szCs w:val="24"/>
        </w:rPr>
        <w:t>ţ</w:t>
      </w:r>
      <w:r w:rsidR="00BA432E" w:rsidRPr="002202F9">
        <w:rPr>
          <w:rFonts w:ascii="Times New Roman" w:hAnsi="Times New Roman" w:cs="Times New Roman"/>
          <w:sz w:val="24"/>
          <w:szCs w:val="24"/>
        </w:rPr>
        <w:t>in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="00BA432E" w:rsidRPr="002202F9">
        <w:rPr>
          <w:rFonts w:ascii="Times New Roman" w:hAnsi="Times New Roman" w:cs="Times New Roman"/>
          <w:sz w:val="24"/>
          <w:szCs w:val="24"/>
        </w:rPr>
        <w:t xml:space="preserve"> un </w:t>
      </w:r>
      <w:r w:rsidRPr="002202F9">
        <w:rPr>
          <w:rFonts w:ascii="Times New Roman" w:hAnsi="Times New Roman" w:cs="Times New Roman"/>
          <w:sz w:val="24"/>
          <w:szCs w:val="24"/>
        </w:rPr>
        <w:t>cont la o bancă comercială din România</w:t>
      </w:r>
      <w:r w:rsidR="00BA432E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4B5FC0">
        <w:rPr>
          <w:rFonts w:ascii="Times New Roman" w:hAnsi="Times New Roman" w:cs="Times New Roman"/>
          <w:sz w:val="24"/>
          <w:szCs w:val="24"/>
        </w:rPr>
        <w:t>î</w:t>
      </w:r>
      <w:r w:rsidR="00BA432E" w:rsidRPr="002202F9">
        <w:rPr>
          <w:rFonts w:ascii="Times New Roman" w:hAnsi="Times New Roman" w:cs="Times New Roman"/>
          <w:sz w:val="24"/>
          <w:szCs w:val="24"/>
        </w:rPr>
        <w:t>n vederea oper</w:t>
      </w:r>
      <w:r w:rsidR="004B5FC0">
        <w:rPr>
          <w:rFonts w:ascii="Times New Roman" w:hAnsi="Times New Roman" w:cs="Times New Roman"/>
          <w:sz w:val="24"/>
          <w:szCs w:val="24"/>
        </w:rPr>
        <w:t>ă</w:t>
      </w:r>
      <w:r w:rsidR="00BA432E" w:rsidRPr="002202F9">
        <w:rPr>
          <w:rFonts w:ascii="Times New Roman" w:hAnsi="Times New Roman" w:cs="Times New Roman"/>
          <w:sz w:val="24"/>
          <w:szCs w:val="24"/>
        </w:rPr>
        <w:t>rii tuturor decontarilor cu BRM</w:t>
      </w:r>
      <w:r w:rsidR="004B5FC0">
        <w:rPr>
          <w:rFonts w:ascii="Times New Roman" w:hAnsi="Times New Roman" w:cs="Times New Roman"/>
          <w:sz w:val="24"/>
          <w:szCs w:val="24"/>
        </w:rPr>
        <w:t>.</w:t>
      </w:r>
    </w:p>
    <w:p w14:paraId="0D36A45E" w14:textId="77777777" w:rsidR="003A215C" w:rsidRPr="002202F9" w:rsidRDefault="003A215C" w:rsidP="003A215C">
      <w:pPr>
        <w:spacing w:after="0" w:line="360" w:lineRule="auto"/>
        <w:ind w:left="432" w:hanging="432"/>
        <w:rPr>
          <w:rFonts w:ascii="Times New Roman" w:hAnsi="Times New Roman" w:cs="Times New Roman"/>
          <w:sz w:val="24"/>
          <w:szCs w:val="24"/>
        </w:rPr>
      </w:pPr>
    </w:p>
    <w:p w14:paraId="171C9AC9" w14:textId="75DDB24F" w:rsidR="00EF1D2B" w:rsidRPr="002202F9" w:rsidRDefault="00EF1D2B" w:rsidP="00C961E0">
      <w:pPr>
        <w:pStyle w:val="Heading1"/>
        <w:numPr>
          <w:ilvl w:val="0"/>
          <w:numId w:val="9"/>
        </w:numPr>
        <w:spacing w:before="0"/>
        <w:ind w:left="432" w:hanging="432"/>
      </w:pPr>
      <w:bookmarkStart w:id="13" w:name="_Toc163209723"/>
      <w:bookmarkStart w:id="14" w:name="_Toc163211430"/>
      <w:bookmarkEnd w:id="13"/>
      <w:r w:rsidRPr="002202F9">
        <w:t>Drepturile BRM</w:t>
      </w:r>
      <w:bookmarkEnd w:id="14"/>
    </w:p>
    <w:p w14:paraId="403A9EBB" w14:textId="01B4D344" w:rsidR="00BF05A8" w:rsidRPr="002202F9" w:rsidRDefault="00DF23AA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În orice moment, BRM poate solicita și obține informații despre situația financiară și soliditatea acesteia aferente unui </w:t>
      </w:r>
      <w:r w:rsidR="00074C69" w:rsidRPr="002202F9">
        <w:rPr>
          <w:rFonts w:ascii="Times New Roman" w:hAnsi="Times New Roman" w:cs="Times New Roman"/>
          <w:sz w:val="24"/>
          <w:szCs w:val="24"/>
        </w:rPr>
        <w:t>participant</w:t>
      </w:r>
      <w:r w:rsidRPr="002202F9">
        <w:rPr>
          <w:rFonts w:ascii="Times New Roman" w:hAnsi="Times New Roman" w:cs="Times New Roman"/>
          <w:sz w:val="24"/>
          <w:szCs w:val="24"/>
        </w:rPr>
        <w:t xml:space="preserve"> și este îndreptățită să monitorizeze </w:t>
      </w:r>
      <w:r w:rsidR="007349C1" w:rsidRPr="002202F9">
        <w:rPr>
          <w:rFonts w:ascii="Times New Roman" w:hAnsi="Times New Roman" w:cs="Times New Roman"/>
          <w:sz w:val="24"/>
          <w:szCs w:val="24"/>
        </w:rPr>
        <w:t>autorizațiile necesare</w:t>
      </w:r>
      <w:r w:rsidRPr="002202F9">
        <w:rPr>
          <w:rFonts w:ascii="Times New Roman" w:hAnsi="Times New Roman" w:cs="Times New Roman"/>
          <w:sz w:val="24"/>
          <w:szCs w:val="24"/>
        </w:rPr>
        <w:t xml:space="preserve"> și alte aspecte considerate relevante de către BRM pentru statutul financiar și juridic al </w:t>
      </w:r>
      <w:r w:rsidR="00074C69" w:rsidRPr="002202F9">
        <w:rPr>
          <w:rFonts w:ascii="Times New Roman" w:hAnsi="Times New Roman" w:cs="Times New Roman"/>
          <w:sz w:val="24"/>
          <w:szCs w:val="24"/>
        </w:rPr>
        <w:t>participantului</w:t>
      </w:r>
      <w:r w:rsidR="007349C1" w:rsidRPr="002202F9">
        <w:rPr>
          <w:rFonts w:ascii="Times New Roman" w:hAnsi="Times New Roman" w:cs="Times New Roman"/>
          <w:sz w:val="24"/>
          <w:szCs w:val="24"/>
        </w:rPr>
        <w:t xml:space="preserve">. </w:t>
      </w:r>
      <w:r w:rsidR="001B49DE" w:rsidRPr="002202F9">
        <w:rPr>
          <w:rFonts w:ascii="Times New Roman" w:hAnsi="Times New Roman" w:cs="Times New Roman"/>
          <w:sz w:val="24"/>
          <w:szCs w:val="24"/>
        </w:rPr>
        <w:t xml:space="preserve">Toate aceste informații vor fi furnizate cu promptitudine de către </w:t>
      </w:r>
      <w:r w:rsidR="00074C69" w:rsidRPr="002202F9">
        <w:rPr>
          <w:rFonts w:ascii="Times New Roman" w:hAnsi="Times New Roman" w:cs="Times New Roman"/>
          <w:sz w:val="24"/>
          <w:szCs w:val="24"/>
        </w:rPr>
        <w:lastRenderedPageBreak/>
        <w:t>participantul</w:t>
      </w:r>
      <w:r w:rsidR="001B49DE" w:rsidRPr="002202F9">
        <w:rPr>
          <w:rFonts w:ascii="Times New Roman" w:hAnsi="Times New Roman" w:cs="Times New Roman"/>
          <w:sz w:val="24"/>
          <w:szCs w:val="24"/>
        </w:rPr>
        <w:t xml:space="preserve"> în cauză, iar acesta este de acord să le solicite oricărei</w:t>
      </w:r>
      <w:r w:rsidR="007349C1" w:rsidRPr="002202F9">
        <w:rPr>
          <w:rFonts w:ascii="Times New Roman" w:hAnsi="Times New Roman" w:cs="Times New Roman"/>
          <w:sz w:val="24"/>
          <w:szCs w:val="24"/>
        </w:rPr>
        <w:t xml:space="preserve"> terțe</w:t>
      </w:r>
      <w:r w:rsidR="001B49DE" w:rsidRPr="002202F9">
        <w:rPr>
          <w:rFonts w:ascii="Times New Roman" w:hAnsi="Times New Roman" w:cs="Times New Roman"/>
          <w:sz w:val="24"/>
          <w:szCs w:val="24"/>
        </w:rPr>
        <w:t xml:space="preserve"> părți care le deține în numele său și să le comunice BRM.</w:t>
      </w:r>
    </w:p>
    <w:p w14:paraId="05FBE6D8" w14:textId="1C09058E" w:rsidR="002F4C33" w:rsidRPr="002202F9" w:rsidRDefault="00682A9C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2F4C33" w:rsidRPr="002202F9">
        <w:rPr>
          <w:rFonts w:ascii="Times New Roman" w:hAnsi="Times New Roman" w:cs="Times New Roman"/>
          <w:sz w:val="24"/>
          <w:szCs w:val="24"/>
        </w:rPr>
        <w:t xml:space="preserve">debiteze contul Participantului prin IDD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2F4C33" w:rsidRPr="002202F9">
        <w:rPr>
          <w:rFonts w:ascii="Times New Roman" w:hAnsi="Times New Roman" w:cs="Times New Roman"/>
          <w:sz w:val="24"/>
          <w:szCs w:val="24"/>
        </w:rPr>
        <w:t>n func</w:t>
      </w:r>
      <w:r>
        <w:rPr>
          <w:rFonts w:ascii="Times New Roman" w:hAnsi="Times New Roman" w:cs="Times New Roman"/>
          <w:sz w:val="24"/>
          <w:szCs w:val="24"/>
        </w:rPr>
        <w:t>ţ</w:t>
      </w:r>
      <w:r w:rsidR="002F4C33" w:rsidRPr="002202F9">
        <w:rPr>
          <w:rFonts w:ascii="Times New Roman" w:hAnsi="Times New Roman" w:cs="Times New Roman"/>
          <w:sz w:val="24"/>
          <w:szCs w:val="24"/>
        </w:rPr>
        <w:t>ie de decontarea zilnic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F4C33" w:rsidRPr="002202F9">
        <w:rPr>
          <w:rFonts w:ascii="Times New Roman" w:hAnsi="Times New Roman" w:cs="Times New Roman"/>
          <w:sz w:val="24"/>
          <w:szCs w:val="24"/>
        </w:rPr>
        <w:t xml:space="preserve"> net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F4C33" w:rsidRPr="002202F9">
        <w:rPr>
          <w:rFonts w:ascii="Times New Roman" w:hAnsi="Times New Roman" w:cs="Times New Roman"/>
          <w:sz w:val="24"/>
          <w:szCs w:val="24"/>
        </w:rPr>
        <w:t xml:space="preserve"> rezultat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2F4C33" w:rsidRPr="002202F9">
        <w:rPr>
          <w:rFonts w:ascii="Times New Roman" w:hAnsi="Times New Roman" w:cs="Times New Roman"/>
          <w:sz w:val="24"/>
          <w:szCs w:val="24"/>
        </w:rPr>
        <w:t xml:space="preserve"> ca urmare a tranzac</w:t>
      </w:r>
      <w:r>
        <w:rPr>
          <w:rFonts w:ascii="Times New Roman" w:hAnsi="Times New Roman" w:cs="Times New Roman"/>
          <w:sz w:val="24"/>
          <w:szCs w:val="24"/>
        </w:rPr>
        <w:t>ţ</w:t>
      </w:r>
      <w:r w:rsidR="002F4C33" w:rsidRPr="002202F9">
        <w:rPr>
          <w:rFonts w:ascii="Times New Roman" w:hAnsi="Times New Roman" w:cs="Times New Roman"/>
          <w:sz w:val="24"/>
          <w:szCs w:val="24"/>
        </w:rPr>
        <w:t xml:space="preserve">iilor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2F4C33" w:rsidRPr="002202F9">
        <w:rPr>
          <w:rFonts w:ascii="Times New Roman" w:hAnsi="Times New Roman" w:cs="Times New Roman"/>
          <w:sz w:val="24"/>
          <w:szCs w:val="24"/>
        </w:rPr>
        <w:t xml:space="preserve">ncheiate pe </w:t>
      </w:r>
      <w:r w:rsidR="00FF3725">
        <w:rPr>
          <w:rFonts w:ascii="Times New Roman" w:hAnsi="Times New Roman" w:cs="Times New Roman"/>
          <w:sz w:val="24"/>
          <w:szCs w:val="24"/>
        </w:rPr>
        <w:t>PZU</w:t>
      </w:r>
      <w:r w:rsidR="002F4C33" w:rsidRPr="002202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D17665" w14:textId="2126EA43" w:rsidR="002F4C33" w:rsidRPr="002202F9" w:rsidRDefault="002F4C33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S</w:t>
      </w:r>
      <w:r w:rsidR="00682A9C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execute imediat garan</w:t>
      </w:r>
      <w:r w:rsidR="00682A9C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ia depus</w:t>
      </w:r>
      <w:r w:rsidR="00682A9C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de un Particpant </w:t>
      </w:r>
      <w:r w:rsidR="00682A9C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condi</w:t>
      </w:r>
      <w:r w:rsidR="00682A9C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iile ne</w:t>
      </w:r>
      <w:r w:rsidR="00682A9C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ndeplin</w:t>
      </w:r>
      <w:r w:rsidR="00682A9C">
        <w:rPr>
          <w:rFonts w:ascii="Times New Roman" w:hAnsi="Times New Roman" w:cs="Times New Roman"/>
          <w:sz w:val="24"/>
          <w:szCs w:val="24"/>
        </w:rPr>
        <w:t>i</w:t>
      </w:r>
      <w:r w:rsidRPr="002202F9">
        <w:rPr>
          <w:rFonts w:ascii="Times New Roman" w:hAnsi="Times New Roman" w:cs="Times New Roman"/>
          <w:sz w:val="24"/>
          <w:szCs w:val="24"/>
        </w:rPr>
        <w:t>rii obliga</w:t>
      </w:r>
      <w:r w:rsidR="00682A9C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iilor de plat</w:t>
      </w:r>
      <w:r w:rsidR="00682A9C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in rela</w:t>
      </w:r>
      <w:r w:rsidR="00682A9C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ie cu CCP, </w:t>
      </w:r>
      <w:r w:rsidR="00793164">
        <w:rPr>
          <w:rFonts w:ascii="Times New Roman" w:hAnsi="Times New Roman" w:cs="Times New Roman"/>
          <w:sz w:val="24"/>
          <w:szCs w:val="24"/>
        </w:rPr>
        <w:t>pentru tranzacțiile efectuate conform</w:t>
      </w:r>
      <w:r w:rsidRPr="002202F9">
        <w:rPr>
          <w:rFonts w:ascii="Times New Roman" w:hAnsi="Times New Roman" w:cs="Times New Roman"/>
          <w:sz w:val="24"/>
          <w:szCs w:val="24"/>
        </w:rPr>
        <w:t xml:space="preserve"> Procedur</w:t>
      </w:r>
      <w:r w:rsidR="00793164">
        <w:rPr>
          <w:rFonts w:ascii="Times New Roman" w:hAnsi="Times New Roman" w:cs="Times New Roman"/>
          <w:sz w:val="24"/>
          <w:szCs w:val="24"/>
        </w:rPr>
        <w:t>ii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FF3725">
        <w:rPr>
          <w:rFonts w:ascii="Times New Roman" w:hAnsi="Times New Roman" w:cs="Times New Roman"/>
          <w:sz w:val="24"/>
          <w:szCs w:val="24"/>
        </w:rPr>
        <w:t>PZU</w:t>
      </w:r>
      <w:r w:rsidRPr="002202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E5EB00" w14:textId="77777777" w:rsidR="003A215C" w:rsidRPr="002202F9" w:rsidRDefault="003A215C" w:rsidP="00C961E0">
      <w:pPr>
        <w:pStyle w:val="ListParagraph"/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</w:p>
    <w:p w14:paraId="09361ED3" w14:textId="55B0E867" w:rsidR="002C57CA" w:rsidRPr="002202F9" w:rsidRDefault="007D41C7" w:rsidP="00C961E0">
      <w:pPr>
        <w:pStyle w:val="Heading1"/>
        <w:numPr>
          <w:ilvl w:val="0"/>
          <w:numId w:val="9"/>
        </w:numPr>
        <w:spacing w:before="0"/>
        <w:ind w:left="432" w:hanging="432"/>
      </w:pPr>
      <w:bookmarkStart w:id="15" w:name="_Toc163209725"/>
      <w:bookmarkStart w:id="16" w:name="_Toc163211431"/>
      <w:bookmarkEnd w:id="15"/>
      <w:r w:rsidRPr="002202F9">
        <w:t>Ob</w:t>
      </w:r>
      <w:r w:rsidR="002C57CA" w:rsidRPr="002202F9">
        <w:t>ligațiile BRM</w:t>
      </w:r>
      <w:bookmarkEnd w:id="16"/>
    </w:p>
    <w:p w14:paraId="6B21F0AD" w14:textId="1C86098B" w:rsidR="002F0A11" w:rsidRPr="002202F9" w:rsidRDefault="002F0A11" w:rsidP="00C961E0">
      <w:pPr>
        <w:pStyle w:val="ListParagraph"/>
        <w:numPr>
          <w:ilvl w:val="1"/>
          <w:numId w:val="9"/>
        </w:numPr>
        <w:tabs>
          <w:tab w:val="left" w:pos="63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BRM va furniza fiecărui </w:t>
      </w:r>
      <w:r w:rsidR="00A830A7" w:rsidRPr="002202F9">
        <w:rPr>
          <w:rFonts w:ascii="Times New Roman" w:hAnsi="Times New Roman" w:cs="Times New Roman"/>
          <w:sz w:val="24"/>
          <w:szCs w:val="24"/>
        </w:rPr>
        <w:t>participant</w:t>
      </w:r>
      <w:r w:rsidR="005C031F">
        <w:rPr>
          <w:rFonts w:ascii="Times New Roman" w:hAnsi="Times New Roman" w:cs="Times New Roman"/>
          <w:sz w:val="24"/>
          <w:szCs w:val="24"/>
        </w:rPr>
        <w:t xml:space="preserve"> ce garanţii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8219F1">
        <w:rPr>
          <w:rFonts w:ascii="Times New Roman" w:hAnsi="Times New Roman" w:cs="Times New Roman"/>
          <w:sz w:val="24"/>
          <w:szCs w:val="24"/>
        </w:rPr>
        <w:t xml:space="preserve">are </w:t>
      </w:r>
      <w:r w:rsidR="005C031F">
        <w:rPr>
          <w:rFonts w:ascii="Times New Roman" w:hAnsi="Times New Roman" w:cs="Times New Roman"/>
          <w:sz w:val="24"/>
          <w:szCs w:val="24"/>
        </w:rPr>
        <w:t xml:space="preserve">depuse la BRM, </w:t>
      </w:r>
      <w:r w:rsidR="005C031F" w:rsidRPr="002202F9">
        <w:rPr>
          <w:rFonts w:ascii="Times New Roman" w:hAnsi="Times New Roman" w:cs="Times New Roman"/>
          <w:sz w:val="24"/>
          <w:szCs w:val="24"/>
        </w:rPr>
        <w:t xml:space="preserve">informații </w:t>
      </w:r>
      <w:r w:rsidRPr="002202F9">
        <w:rPr>
          <w:rFonts w:ascii="Times New Roman" w:hAnsi="Times New Roman" w:cs="Times New Roman"/>
          <w:sz w:val="24"/>
          <w:szCs w:val="24"/>
        </w:rPr>
        <w:t xml:space="preserve">cu privire la </w:t>
      </w:r>
      <w:r w:rsidR="005C031F" w:rsidRPr="002202F9">
        <w:rPr>
          <w:rFonts w:ascii="Times New Roman" w:hAnsi="Times New Roman" w:cs="Times New Roman"/>
          <w:sz w:val="24"/>
          <w:szCs w:val="24"/>
        </w:rPr>
        <w:t>garan</w:t>
      </w:r>
      <w:r w:rsidR="005C031F">
        <w:rPr>
          <w:rFonts w:ascii="Times New Roman" w:hAnsi="Times New Roman" w:cs="Times New Roman"/>
          <w:sz w:val="24"/>
          <w:szCs w:val="24"/>
        </w:rPr>
        <w:t>ţ</w:t>
      </w:r>
      <w:r w:rsidR="005C031F" w:rsidRPr="002202F9">
        <w:rPr>
          <w:rFonts w:ascii="Times New Roman" w:hAnsi="Times New Roman" w:cs="Times New Roman"/>
          <w:sz w:val="24"/>
          <w:szCs w:val="24"/>
        </w:rPr>
        <w:t xml:space="preserve">iile </w:t>
      </w:r>
      <w:r w:rsidR="00523C6B" w:rsidRPr="002202F9">
        <w:rPr>
          <w:rFonts w:ascii="Times New Roman" w:hAnsi="Times New Roman" w:cs="Times New Roman"/>
          <w:sz w:val="24"/>
          <w:szCs w:val="24"/>
        </w:rPr>
        <w:t>participantului</w:t>
      </w:r>
      <w:r w:rsidRPr="002202F9">
        <w:rPr>
          <w:rFonts w:ascii="Times New Roman" w:hAnsi="Times New Roman" w:cs="Times New Roman"/>
          <w:sz w:val="24"/>
          <w:szCs w:val="24"/>
        </w:rPr>
        <w:t>, inclusiv informații privind decontarea</w:t>
      </w:r>
      <w:r w:rsidR="005C031F">
        <w:rPr>
          <w:rFonts w:ascii="Times New Roman" w:hAnsi="Times New Roman" w:cs="Times New Roman"/>
          <w:sz w:val="24"/>
          <w:szCs w:val="24"/>
        </w:rPr>
        <w:t>.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B40E1" w14:textId="25955857" w:rsidR="00074C69" w:rsidRPr="002202F9" w:rsidRDefault="00021786" w:rsidP="00C961E0">
      <w:pPr>
        <w:pStyle w:val="ListParagraph"/>
        <w:numPr>
          <w:ilvl w:val="1"/>
          <w:numId w:val="9"/>
        </w:numPr>
        <w:tabs>
          <w:tab w:val="left" w:pos="63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BRM își asumă răspunderea deplină pentru exactitatea tuturor instrucțiunilor de debitare directă transmise băncii de cont curent</w:t>
      </w:r>
      <w:r w:rsidR="007574D4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5C031F">
        <w:rPr>
          <w:rFonts w:ascii="Times New Roman" w:hAnsi="Times New Roman" w:cs="Times New Roman"/>
          <w:sz w:val="24"/>
          <w:szCs w:val="24"/>
        </w:rPr>
        <w:t>î</w:t>
      </w:r>
      <w:r w:rsidR="007574D4" w:rsidRPr="002202F9">
        <w:rPr>
          <w:rFonts w:ascii="Times New Roman" w:hAnsi="Times New Roman" w:cs="Times New Roman"/>
          <w:sz w:val="24"/>
          <w:szCs w:val="24"/>
        </w:rPr>
        <w:t>n acord cu tranzac</w:t>
      </w:r>
      <w:r w:rsidR="005C031F">
        <w:rPr>
          <w:rFonts w:ascii="Times New Roman" w:hAnsi="Times New Roman" w:cs="Times New Roman"/>
          <w:sz w:val="24"/>
          <w:szCs w:val="24"/>
        </w:rPr>
        <w:t>ţ</w:t>
      </w:r>
      <w:r w:rsidR="007574D4" w:rsidRPr="002202F9">
        <w:rPr>
          <w:rFonts w:ascii="Times New Roman" w:hAnsi="Times New Roman" w:cs="Times New Roman"/>
          <w:sz w:val="24"/>
          <w:szCs w:val="24"/>
        </w:rPr>
        <w:t xml:space="preserve">iile </w:t>
      </w:r>
      <w:r w:rsidR="0096631B">
        <w:rPr>
          <w:rFonts w:ascii="Times New Roman" w:hAnsi="Times New Roman" w:cs="Times New Roman"/>
          <w:sz w:val="24"/>
          <w:szCs w:val="24"/>
        </w:rPr>
        <w:t>î</w:t>
      </w:r>
      <w:r w:rsidR="007574D4" w:rsidRPr="002202F9">
        <w:rPr>
          <w:rFonts w:ascii="Times New Roman" w:hAnsi="Times New Roman" w:cs="Times New Roman"/>
          <w:sz w:val="24"/>
          <w:szCs w:val="24"/>
        </w:rPr>
        <w:t xml:space="preserve">ncheiate de participant </w:t>
      </w:r>
      <w:r w:rsidR="005C031F">
        <w:rPr>
          <w:rFonts w:ascii="Times New Roman" w:hAnsi="Times New Roman" w:cs="Times New Roman"/>
          <w:sz w:val="24"/>
          <w:szCs w:val="24"/>
        </w:rPr>
        <w:t>ş</w:t>
      </w:r>
      <w:r w:rsidR="007574D4" w:rsidRPr="002202F9">
        <w:rPr>
          <w:rFonts w:ascii="Times New Roman" w:hAnsi="Times New Roman" w:cs="Times New Roman"/>
          <w:sz w:val="24"/>
          <w:szCs w:val="24"/>
        </w:rPr>
        <w:t>i s</w:t>
      </w:r>
      <w:r w:rsidR="005C031F">
        <w:rPr>
          <w:rFonts w:ascii="Times New Roman" w:hAnsi="Times New Roman" w:cs="Times New Roman"/>
          <w:sz w:val="24"/>
          <w:szCs w:val="24"/>
        </w:rPr>
        <w:t>ă</w:t>
      </w:r>
      <w:r w:rsidR="007574D4" w:rsidRPr="002202F9">
        <w:rPr>
          <w:rFonts w:ascii="Times New Roman" w:hAnsi="Times New Roman" w:cs="Times New Roman"/>
          <w:sz w:val="24"/>
          <w:szCs w:val="24"/>
        </w:rPr>
        <w:t xml:space="preserve"> pun</w:t>
      </w:r>
      <w:r w:rsidR="005C031F">
        <w:rPr>
          <w:rFonts w:ascii="Times New Roman" w:hAnsi="Times New Roman" w:cs="Times New Roman"/>
          <w:sz w:val="24"/>
          <w:szCs w:val="24"/>
        </w:rPr>
        <w:t>ă</w:t>
      </w:r>
      <w:r w:rsidR="007574D4" w:rsidRPr="002202F9">
        <w:rPr>
          <w:rFonts w:ascii="Times New Roman" w:hAnsi="Times New Roman" w:cs="Times New Roman"/>
          <w:sz w:val="24"/>
          <w:szCs w:val="24"/>
        </w:rPr>
        <w:t xml:space="preserve"> la dispozi</w:t>
      </w:r>
      <w:r w:rsidR="005C031F">
        <w:rPr>
          <w:rFonts w:ascii="Times New Roman" w:hAnsi="Times New Roman" w:cs="Times New Roman"/>
          <w:sz w:val="24"/>
          <w:szCs w:val="24"/>
        </w:rPr>
        <w:t>ţ</w:t>
      </w:r>
      <w:r w:rsidR="007574D4" w:rsidRPr="002202F9">
        <w:rPr>
          <w:rFonts w:ascii="Times New Roman" w:hAnsi="Times New Roman" w:cs="Times New Roman"/>
          <w:sz w:val="24"/>
          <w:szCs w:val="24"/>
        </w:rPr>
        <w:t>ia acestuia NZD p</w:t>
      </w:r>
      <w:r w:rsidR="005C031F">
        <w:rPr>
          <w:rFonts w:ascii="Times New Roman" w:hAnsi="Times New Roman" w:cs="Times New Roman"/>
          <w:sz w:val="24"/>
          <w:szCs w:val="24"/>
        </w:rPr>
        <w:t>rin</w:t>
      </w:r>
      <w:r w:rsidR="007574D4" w:rsidRPr="002202F9">
        <w:rPr>
          <w:rFonts w:ascii="Times New Roman" w:hAnsi="Times New Roman" w:cs="Times New Roman"/>
          <w:sz w:val="24"/>
          <w:szCs w:val="24"/>
        </w:rPr>
        <w:t xml:space="preserve"> canale electronice, inclusiv pe email la cerere</w:t>
      </w:r>
      <w:r w:rsidRPr="002202F9">
        <w:rPr>
          <w:rFonts w:ascii="Times New Roman" w:hAnsi="Times New Roman" w:cs="Times New Roman"/>
          <w:sz w:val="24"/>
          <w:szCs w:val="24"/>
        </w:rPr>
        <w:t>.</w:t>
      </w:r>
    </w:p>
    <w:p w14:paraId="0BEC8DB3" w14:textId="2DCD69FC" w:rsidR="00432489" w:rsidRPr="002202F9" w:rsidRDefault="00432489" w:rsidP="00C961E0">
      <w:pPr>
        <w:pStyle w:val="ListParagraph"/>
        <w:numPr>
          <w:ilvl w:val="1"/>
          <w:numId w:val="9"/>
        </w:numPr>
        <w:tabs>
          <w:tab w:val="left" w:pos="63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BRM se obligă să respecte întocmai și în orice moment reglementările legale în vigoare aplicabile instrucțiunilor de debitare directă.</w:t>
      </w:r>
    </w:p>
    <w:p w14:paraId="03E49E39" w14:textId="5E0D3578" w:rsidR="007574D4" w:rsidRPr="002202F9" w:rsidRDefault="007574D4" w:rsidP="00C961E0">
      <w:pPr>
        <w:pStyle w:val="ListParagraph"/>
        <w:numPr>
          <w:ilvl w:val="1"/>
          <w:numId w:val="9"/>
        </w:numPr>
        <w:tabs>
          <w:tab w:val="left" w:pos="63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BRM are obliga</w:t>
      </w:r>
      <w:r w:rsidR="005C031F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ia de a achita Participantului contravaloarea sumelor datorate conform NZD</w:t>
      </w:r>
      <w:r w:rsidR="00B76883" w:rsidRPr="002202F9">
        <w:rPr>
          <w:rFonts w:ascii="Times New Roman" w:hAnsi="Times New Roman" w:cs="Times New Roman"/>
          <w:sz w:val="24"/>
          <w:szCs w:val="24"/>
        </w:rPr>
        <w:t>.</w:t>
      </w:r>
    </w:p>
    <w:p w14:paraId="431E5187" w14:textId="67E9CEB5" w:rsidR="0058416D" w:rsidRPr="002202F9" w:rsidRDefault="00432489" w:rsidP="00C961E0">
      <w:pPr>
        <w:pStyle w:val="ListParagraph"/>
        <w:numPr>
          <w:ilvl w:val="1"/>
          <w:numId w:val="9"/>
        </w:numPr>
        <w:tabs>
          <w:tab w:val="left" w:pos="63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BRM se obligă să asigure confidențialitatea datelor personale și bancare ale participanților și respectarea tuturor obligațiilor legale cu privire la datele cu caracter personal.</w:t>
      </w:r>
    </w:p>
    <w:p w14:paraId="2E182C8B" w14:textId="3BC927AB" w:rsidR="00E02648" w:rsidRPr="002202F9" w:rsidRDefault="00E02648" w:rsidP="00C961E0">
      <w:pPr>
        <w:pStyle w:val="ListParagraph"/>
        <w:numPr>
          <w:ilvl w:val="1"/>
          <w:numId w:val="9"/>
        </w:numPr>
        <w:tabs>
          <w:tab w:val="left" w:pos="630"/>
        </w:tabs>
        <w:spacing w:line="36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Să asigure îndeplinirea tuturor obligațiilor din prezenta Procedură.</w:t>
      </w:r>
    </w:p>
    <w:p w14:paraId="436045A4" w14:textId="77777777" w:rsidR="00E02648" w:rsidRPr="002202F9" w:rsidRDefault="00E02648" w:rsidP="00C961E0">
      <w:pPr>
        <w:pStyle w:val="ListParagraph"/>
        <w:spacing w:line="360" w:lineRule="auto"/>
        <w:ind w:left="432" w:hanging="432"/>
        <w:jc w:val="both"/>
        <w:rPr>
          <w:rFonts w:ascii="Times New Roman" w:hAnsi="Times New Roman" w:cs="Times New Roman"/>
          <w:sz w:val="24"/>
          <w:szCs w:val="24"/>
        </w:rPr>
      </w:pPr>
    </w:p>
    <w:p w14:paraId="4B5C726D" w14:textId="4883D775" w:rsidR="002E7BAA" w:rsidRPr="002202F9" w:rsidRDefault="00835506" w:rsidP="00C961E0">
      <w:pPr>
        <w:pStyle w:val="Heading1"/>
        <w:numPr>
          <w:ilvl w:val="0"/>
          <w:numId w:val="9"/>
        </w:numPr>
        <w:spacing w:before="0"/>
        <w:ind w:left="432" w:hanging="432"/>
      </w:pPr>
      <w:bookmarkStart w:id="17" w:name="_Toc163211432"/>
      <w:r w:rsidRPr="002202F9">
        <w:t>Drepturile</w:t>
      </w:r>
      <w:r w:rsidR="002E7BAA" w:rsidRPr="002202F9">
        <w:t xml:space="preserve"> participantului</w:t>
      </w:r>
      <w:bookmarkEnd w:id="17"/>
    </w:p>
    <w:p w14:paraId="114BEC1A" w14:textId="5539D737" w:rsidR="002E7BAA" w:rsidRPr="002202F9" w:rsidRDefault="002E7BAA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Să </w:t>
      </w:r>
      <w:r w:rsidR="003649C5" w:rsidRPr="002202F9">
        <w:rPr>
          <w:rFonts w:ascii="Times New Roman" w:hAnsi="Times New Roman" w:cs="Times New Roman"/>
          <w:sz w:val="24"/>
          <w:szCs w:val="24"/>
        </w:rPr>
        <w:t>primeasc</w:t>
      </w:r>
      <w:r w:rsidR="0096631B">
        <w:rPr>
          <w:rFonts w:ascii="Times New Roman" w:hAnsi="Times New Roman" w:cs="Times New Roman"/>
          <w:sz w:val="24"/>
          <w:szCs w:val="24"/>
        </w:rPr>
        <w:t>ă</w:t>
      </w:r>
      <w:r w:rsidR="003649C5" w:rsidRPr="002202F9">
        <w:rPr>
          <w:rFonts w:ascii="Times New Roman" w:hAnsi="Times New Roman" w:cs="Times New Roman"/>
          <w:sz w:val="24"/>
          <w:szCs w:val="24"/>
        </w:rPr>
        <w:t xml:space="preserve"> fondurile b</w:t>
      </w:r>
      <w:r w:rsidR="0096631B">
        <w:rPr>
          <w:rFonts w:ascii="Times New Roman" w:hAnsi="Times New Roman" w:cs="Times New Roman"/>
          <w:sz w:val="24"/>
          <w:szCs w:val="24"/>
        </w:rPr>
        <w:t>ă</w:t>
      </w:r>
      <w:r w:rsidR="003649C5" w:rsidRPr="002202F9">
        <w:rPr>
          <w:rFonts w:ascii="Times New Roman" w:hAnsi="Times New Roman" w:cs="Times New Roman"/>
          <w:sz w:val="24"/>
          <w:szCs w:val="24"/>
        </w:rPr>
        <w:t>ne</w:t>
      </w:r>
      <w:r w:rsidR="0096631B">
        <w:rPr>
          <w:rFonts w:ascii="Times New Roman" w:hAnsi="Times New Roman" w:cs="Times New Roman"/>
          <w:sz w:val="24"/>
          <w:szCs w:val="24"/>
        </w:rPr>
        <w:t>ș</w:t>
      </w:r>
      <w:r w:rsidR="003649C5" w:rsidRPr="002202F9">
        <w:rPr>
          <w:rFonts w:ascii="Times New Roman" w:hAnsi="Times New Roman" w:cs="Times New Roman"/>
          <w:sz w:val="24"/>
          <w:szCs w:val="24"/>
        </w:rPr>
        <w:t xml:space="preserve">ti conform NZD. </w:t>
      </w:r>
    </w:p>
    <w:p w14:paraId="5997CAE5" w14:textId="42AE7268" w:rsidR="003649C5" w:rsidRPr="002202F9" w:rsidRDefault="003649C5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S</w:t>
      </w:r>
      <w:r w:rsidR="005C031F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>-</w:t>
      </w:r>
      <w:r w:rsidR="005C031F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administreze garan</w:t>
      </w:r>
      <w:r w:rsidR="005C031F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iile depuse la BRM. </w:t>
      </w:r>
    </w:p>
    <w:p w14:paraId="0C090CB3" w14:textId="2572D2C7" w:rsidR="002E7BAA" w:rsidRPr="002202F9" w:rsidRDefault="002E7BAA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Să obțin</w:t>
      </w:r>
      <w:r w:rsidR="007670E4" w:rsidRPr="002202F9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informații în legătură cu situația zilnică a </w:t>
      </w:r>
      <w:r w:rsidR="000467B4" w:rsidRPr="002202F9">
        <w:rPr>
          <w:rFonts w:ascii="Times New Roman" w:hAnsi="Times New Roman" w:cs="Times New Roman"/>
          <w:sz w:val="24"/>
          <w:szCs w:val="24"/>
        </w:rPr>
        <w:t>c</w:t>
      </w:r>
      <w:r w:rsidRPr="002202F9">
        <w:rPr>
          <w:rFonts w:ascii="Times New Roman" w:hAnsi="Times New Roman" w:cs="Times New Roman"/>
          <w:sz w:val="24"/>
          <w:szCs w:val="24"/>
        </w:rPr>
        <w:t>ontului său</w:t>
      </w:r>
      <w:r w:rsidR="003649C5" w:rsidRPr="002202F9">
        <w:rPr>
          <w:rFonts w:ascii="Times New Roman" w:hAnsi="Times New Roman" w:cs="Times New Roman"/>
          <w:sz w:val="24"/>
          <w:szCs w:val="24"/>
        </w:rPr>
        <w:t xml:space="preserve"> privind tranzac</w:t>
      </w:r>
      <w:r w:rsidR="005C031F">
        <w:rPr>
          <w:rFonts w:ascii="Times New Roman" w:hAnsi="Times New Roman" w:cs="Times New Roman"/>
          <w:sz w:val="24"/>
          <w:szCs w:val="24"/>
        </w:rPr>
        <w:t>ţ</w:t>
      </w:r>
      <w:r w:rsidR="003649C5" w:rsidRPr="002202F9">
        <w:rPr>
          <w:rFonts w:ascii="Times New Roman" w:hAnsi="Times New Roman" w:cs="Times New Roman"/>
          <w:sz w:val="24"/>
          <w:szCs w:val="24"/>
        </w:rPr>
        <w:t xml:space="preserve">iile </w:t>
      </w:r>
      <w:r w:rsidR="005C031F">
        <w:rPr>
          <w:rFonts w:ascii="Times New Roman" w:hAnsi="Times New Roman" w:cs="Times New Roman"/>
          <w:sz w:val="24"/>
          <w:szCs w:val="24"/>
        </w:rPr>
        <w:t>î</w:t>
      </w:r>
      <w:r w:rsidR="003649C5" w:rsidRPr="002202F9">
        <w:rPr>
          <w:rFonts w:ascii="Times New Roman" w:hAnsi="Times New Roman" w:cs="Times New Roman"/>
          <w:sz w:val="24"/>
          <w:szCs w:val="24"/>
        </w:rPr>
        <w:t xml:space="preserve">ncheiate, drepturile </w:t>
      </w:r>
      <w:r w:rsidR="00625420">
        <w:rPr>
          <w:rFonts w:ascii="Times New Roman" w:hAnsi="Times New Roman" w:cs="Times New Roman"/>
          <w:sz w:val="24"/>
          <w:szCs w:val="24"/>
        </w:rPr>
        <w:t>ş</w:t>
      </w:r>
      <w:r w:rsidR="003649C5" w:rsidRPr="002202F9">
        <w:rPr>
          <w:rFonts w:ascii="Times New Roman" w:hAnsi="Times New Roman" w:cs="Times New Roman"/>
          <w:sz w:val="24"/>
          <w:szCs w:val="24"/>
        </w:rPr>
        <w:t>i obliga</w:t>
      </w:r>
      <w:r w:rsidR="005C031F">
        <w:rPr>
          <w:rFonts w:ascii="Times New Roman" w:hAnsi="Times New Roman" w:cs="Times New Roman"/>
          <w:sz w:val="24"/>
          <w:szCs w:val="24"/>
        </w:rPr>
        <w:t>ţ</w:t>
      </w:r>
      <w:r w:rsidR="003649C5" w:rsidRPr="002202F9">
        <w:rPr>
          <w:rFonts w:ascii="Times New Roman" w:hAnsi="Times New Roman" w:cs="Times New Roman"/>
          <w:sz w:val="24"/>
          <w:szCs w:val="24"/>
        </w:rPr>
        <w:t xml:space="preserve">iile proprii </w:t>
      </w:r>
      <w:r w:rsidR="005C031F">
        <w:rPr>
          <w:rFonts w:ascii="Times New Roman" w:hAnsi="Times New Roman" w:cs="Times New Roman"/>
          <w:sz w:val="24"/>
          <w:szCs w:val="24"/>
        </w:rPr>
        <w:t>î</w:t>
      </w:r>
      <w:r w:rsidR="003649C5" w:rsidRPr="002202F9">
        <w:rPr>
          <w:rFonts w:ascii="Times New Roman" w:hAnsi="Times New Roman" w:cs="Times New Roman"/>
          <w:sz w:val="24"/>
          <w:szCs w:val="24"/>
        </w:rPr>
        <w:t>n leg</w:t>
      </w:r>
      <w:r w:rsidR="005C031F">
        <w:rPr>
          <w:rFonts w:ascii="Times New Roman" w:hAnsi="Times New Roman" w:cs="Times New Roman"/>
          <w:sz w:val="24"/>
          <w:szCs w:val="24"/>
        </w:rPr>
        <w:t>ă</w:t>
      </w:r>
      <w:r w:rsidR="003649C5" w:rsidRPr="002202F9">
        <w:rPr>
          <w:rFonts w:ascii="Times New Roman" w:hAnsi="Times New Roman" w:cs="Times New Roman"/>
          <w:sz w:val="24"/>
          <w:szCs w:val="24"/>
        </w:rPr>
        <w:t>tur</w:t>
      </w:r>
      <w:r w:rsidR="005C031F">
        <w:rPr>
          <w:rFonts w:ascii="Times New Roman" w:hAnsi="Times New Roman" w:cs="Times New Roman"/>
          <w:sz w:val="24"/>
          <w:szCs w:val="24"/>
        </w:rPr>
        <w:t>ă</w:t>
      </w:r>
      <w:r w:rsidR="003649C5" w:rsidRPr="002202F9">
        <w:rPr>
          <w:rFonts w:ascii="Times New Roman" w:hAnsi="Times New Roman" w:cs="Times New Roman"/>
          <w:sz w:val="24"/>
          <w:szCs w:val="24"/>
        </w:rPr>
        <w:t xml:space="preserve"> cu decontarea acestora.</w:t>
      </w:r>
    </w:p>
    <w:p w14:paraId="6AEFF0CE" w14:textId="39E27956" w:rsidR="00F774FE" w:rsidRPr="002202F9" w:rsidRDefault="007670E4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Să constate și să solicite BRM remedierea eventualelor erori privind situația contului său emis de către BRM și/sau situația decontărilor sale în maxim 24 de ore de la primirea </w:t>
      </w:r>
      <w:r w:rsidR="00703D00" w:rsidRPr="002202F9">
        <w:rPr>
          <w:rFonts w:ascii="Times New Roman" w:hAnsi="Times New Roman" w:cs="Times New Roman"/>
          <w:sz w:val="24"/>
          <w:szCs w:val="24"/>
        </w:rPr>
        <w:t>notei zilnice de decontare</w:t>
      </w:r>
      <w:r w:rsidRPr="002202F9">
        <w:rPr>
          <w:rFonts w:ascii="Times New Roman" w:hAnsi="Times New Roman" w:cs="Times New Roman"/>
          <w:sz w:val="24"/>
          <w:szCs w:val="24"/>
        </w:rPr>
        <w:t xml:space="preserve"> și/sau evenimentul sesizat privind decontarea</w:t>
      </w:r>
      <w:r w:rsidR="00E02648" w:rsidRPr="002202F9">
        <w:rPr>
          <w:rFonts w:ascii="Times New Roman" w:hAnsi="Times New Roman" w:cs="Times New Roman"/>
          <w:sz w:val="24"/>
          <w:szCs w:val="24"/>
        </w:rPr>
        <w:t xml:space="preserve">, </w:t>
      </w:r>
      <w:r w:rsidR="005C031F" w:rsidRPr="002202F9">
        <w:rPr>
          <w:rFonts w:ascii="Times New Roman" w:hAnsi="Times New Roman" w:cs="Times New Roman"/>
          <w:sz w:val="24"/>
          <w:szCs w:val="24"/>
        </w:rPr>
        <w:t>urm</w:t>
      </w:r>
      <w:r w:rsidR="005C031F">
        <w:rPr>
          <w:rFonts w:ascii="Times New Roman" w:hAnsi="Times New Roman" w:cs="Times New Roman"/>
          <w:sz w:val="24"/>
          <w:szCs w:val="24"/>
        </w:rPr>
        <w:t>â</w:t>
      </w:r>
      <w:r w:rsidR="005C031F" w:rsidRPr="002202F9">
        <w:rPr>
          <w:rFonts w:ascii="Times New Roman" w:hAnsi="Times New Roman" w:cs="Times New Roman"/>
          <w:sz w:val="24"/>
          <w:szCs w:val="24"/>
        </w:rPr>
        <w:t xml:space="preserve">nd </w:t>
      </w:r>
      <w:r w:rsidR="00E02648" w:rsidRPr="002202F9">
        <w:rPr>
          <w:rFonts w:ascii="Times New Roman" w:hAnsi="Times New Roman" w:cs="Times New Roman"/>
          <w:sz w:val="24"/>
          <w:szCs w:val="24"/>
        </w:rPr>
        <w:t>ca BRM s</w:t>
      </w:r>
      <w:r w:rsidR="005C031F">
        <w:rPr>
          <w:rFonts w:ascii="Times New Roman" w:hAnsi="Times New Roman" w:cs="Times New Roman"/>
          <w:sz w:val="24"/>
          <w:szCs w:val="24"/>
        </w:rPr>
        <w:t>ă</w:t>
      </w:r>
      <w:r w:rsidR="00E02648" w:rsidRPr="002202F9">
        <w:rPr>
          <w:rFonts w:ascii="Times New Roman" w:hAnsi="Times New Roman" w:cs="Times New Roman"/>
          <w:sz w:val="24"/>
          <w:szCs w:val="24"/>
        </w:rPr>
        <w:t xml:space="preserve"> procedeze la analiza </w:t>
      </w:r>
      <w:r w:rsidR="005C031F">
        <w:rPr>
          <w:rFonts w:ascii="Times New Roman" w:hAnsi="Times New Roman" w:cs="Times New Roman"/>
          <w:sz w:val="24"/>
          <w:szCs w:val="24"/>
        </w:rPr>
        <w:t>ş</w:t>
      </w:r>
      <w:r w:rsidR="00E02648" w:rsidRPr="002202F9">
        <w:rPr>
          <w:rFonts w:ascii="Times New Roman" w:hAnsi="Times New Roman" w:cs="Times New Roman"/>
          <w:sz w:val="24"/>
          <w:szCs w:val="24"/>
        </w:rPr>
        <w:t>i remedierea situa</w:t>
      </w:r>
      <w:r w:rsidR="005C031F">
        <w:rPr>
          <w:rFonts w:ascii="Times New Roman" w:hAnsi="Times New Roman" w:cs="Times New Roman"/>
          <w:sz w:val="24"/>
          <w:szCs w:val="24"/>
        </w:rPr>
        <w:t>ţ</w:t>
      </w:r>
      <w:r w:rsidR="00E02648" w:rsidRPr="002202F9">
        <w:rPr>
          <w:rFonts w:ascii="Times New Roman" w:hAnsi="Times New Roman" w:cs="Times New Roman"/>
          <w:sz w:val="24"/>
          <w:szCs w:val="24"/>
        </w:rPr>
        <w:t xml:space="preserve">iei </w:t>
      </w:r>
      <w:r w:rsidR="005C031F">
        <w:rPr>
          <w:rFonts w:ascii="Times New Roman" w:hAnsi="Times New Roman" w:cs="Times New Roman"/>
          <w:sz w:val="24"/>
          <w:szCs w:val="24"/>
        </w:rPr>
        <w:t>î</w:t>
      </w:r>
      <w:r w:rsidR="00E02648" w:rsidRPr="002202F9">
        <w:rPr>
          <w:rFonts w:ascii="Times New Roman" w:hAnsi="Times New Roman" w:cs="Times New Roman"/>
          <w:sz w:val="24"/>
          <w:szCs w:val="24"/>
        </w:rPr>
        <w:t>n cel mai scurt timp posibil</w:t>
      </w:r>
      <w:r w:rsidRPr="002202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2211B1" w14:textId="77777777" w:rsidR="003A215C" w:rsidRPr="002202F9" w:rsidRDefault="003A215C" w:rsidP="00C961E0">
      <w:pPr>
        <w:pStyle w:val="ListParagraph"/>
        <w:spacing w:line="360" w:lineRule="auto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14:paraId="513E8D45" w14:textId="6F3B1FD6" w:rsidR="00010E5E" w:rsidRPr="002202F9" w:rsidRDefault="00835506" w:rsidP="00C961E0">
      <w:pPr>
        <w:pStyle w:val="Heading1"/>
        <w:numPr>
          <w:ilvl w:val="0"/>
          <w:numId w:val="9"/>
        </w:numPr>
        <w:spacing w:before="0"/>
        <w:ind w:left="432" w:hanging="432"/>
      </w:pPr>
      <w:bookmarkStart w:id="18" w:name="_Toc163209728"/>
      <w:bookmarkStart w:id="19" w:name="_Toc163211433"/>
      <w:bookmarkEnd w:id="18"/>
      <w:r w:rsidRPr="002202F9">
        <w:t>Obligațiile</w:t>
      </w:r>
      <w:r w:rsidR="00010E5E" w:rsidRPr="002202F9">
        <w:t xml:space="preserve"> participantului</w:t>
      </w:r>
      <w:bookmarkEnd w:id="19"/>
    </w:p>
    <w:p w14:paraId="4AA22B22" w14:textId="6CF5BF5D" w:rsidR="00E93B6D" w:rsidRPr="0096631B" w:rsidRDefault="00E93B6D" w:rsidP="00E55C6D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notific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02F9">
        <w:rPr>
          <w:rFonts w:ascii="Times New Roman" w:hAnsi="Times New Roman" w:cs="Times New Roman"/>
          <w:sz w:val="24"/>
          <w:szCs w:val="24"/>
        </w:rPr>
        <w:t xml:space="preserve"> imediat BRM, în scris, despre orice neconformitate sau suspiciune de neconformitate din partea sa în temeiul regulamentelor și procedurilor aferente </w:t>
      </w:r>
      <w:r w:rsidR="00FF3725">
        <w:rPr>
          <w:rFonts w:ascii="Times New Roman" w:hAnsi="Times New Roman" w:cs="Times New Roman"/>
          <w:sz w:val="24"/>
          <w:szCs w:val="24"/>
        </w:rPr>
        <w:t>PZU</w:t>
      </w:r>
      <w:r w:rsidR="00FF3725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Pr="002202F9">
        <w:rPr>
          <w:rFonts w:ascii="Times New Roman" w:hAnsi="Times New Roman" w:cs="Times New Roman"/>
          <w:sz w:val="24"/>
          <w:szCs w:val="24"/>
        </w:rPr>
        <w:t>administrate de BRM, de îndată ce acesta ia la cunoștință astfel de informații.</w:t>
      </w:r>
    </w:p>
    <w:p w14:paraId="1CAE5B2D" w14:textId="2ABB4760" w:rsidR="00E02648" w:rsidRPr="002202F9" w:rsidRDefault="00E02648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S</w:t>
      </w:r>
      <w:r w:rsidR="005C031F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asigure </w:t>
      </w:r>
      <w:r w:rsidR="005C031F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permanen</w:t>
      </w:r>
      <w:r w:rsidR="005C031F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a necesarul de fonduri b</w:t>
      </w:r>
      <w:r w:rsidR="005C031F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>ne</w:t>
      </w:r>
      <w:r w:rsidR="005C031F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 xml:space="preserve">ti </w:t>
      </w:r>
      <w:r w:rsidR="00793164">
        <w:rPr>
          <w:rFonts w:ascii="Times New Roman" w:hAnsi="Times New Roman" w:cs="Times New Roman"/>
          <w:sz w:val="24"/>
          <w:szCs w:val="24"/>
        </w:rPr>
        <w:t xml:space="preserve">în contul deschis la Banca de decontare pentru a asigura plata tranzacțiilor efectuate </w:t>
      </w:r>
      <w:r w:rsidR="000F6808">
        <w:rPr>
          <w:rFonts w:ascii="Times New Roman" w:hAnsi="Times New Roman" w:cs="Times New Roman"/>
          <w:sz w:val="24"/>
          <w:szCs w:val="24"/>
        </w:rPr>
        <w:t>prin intermediul</w:t>
      </w:r>
      <w:r w:rsidR="000F6808" w:rsidRPr="002202F9">
        <w:rPr>
          <w:rFonts w:ascii="Times New Roman" w:hAnsi="Times New Roman" w:cs="Times New Roman"/>
          <w:sz w:val="24"/>
          <w:szCs w:val="24"/>
        </w:rPr>
        <w:t xml:space="preserve"> obliga</w:t>
      </w:r>
      <w:r w:rsidR="000F6808">
        <w:rPr>
          <w:rFonts w:ascii="Times New Roman" w:hAnsi="Times New Roman" w:cs="Times New Roman"/>
          <w:sz w:val="24"/>
          <w:szCs w:val="24"/>
        </w:rPr>
        <w:t>ţ</w:t>
      </w:r>
      <w:r w:rsidR="000F6808" w:rsidRPr="002202F9">
        <w:rPr>
          <w:rFonts w:ascii="Times New Roman" w:hAnsi="Times New Roman" w:cs="Times New Roman"/>
          <w:sz w:val="24"/>
          <w:szCs w:val="24"/>
        </w:rPr>
        <w:t>iilor de plat</w:t>
      </w:r>
      <w:r w:rsidR="000F6808">
        <w:rPr>
          <w:rFonts w:ascii="Times New Roman" w:hAnsi="Times New Roman" w:cs="Times New Roman"/>
          <w:sz w:val="24"/>
          <w:szCs w:val="24"/>
        </w:rPr>
        <w:t>ă</w:t>
      </w:r>
      <w:r w:rsidR="000F6808" w:rsidRPr="002202F9">
        <w:rPr>
          <w:rFonts w:ascii="Times New Roman" w:hAnsi="Times New Roman" w:cs="Times New Roman"/>
          <w:sz w:val="24"/>
          <w:szCs w:val="24"/>
        </w:rPr>
        <w:t xml:space="preserve"> emise de BRM conform IDD</w:t>
      </w:r>
      <w:r w:rsidR="000F6808">
        <w:rPr>
          <w:rFonts w:ascii="Times New Roman" w:hAnsi="Times New Roman" w:cs="Times New Roman"/>
          <w:sz w:val="24"/>
          <w:szCs w:val="24"/>
        </w:rPr>
        <w:t xml:space="preserve">, </w:t>
      </w:r>
      <w:r w:rsidR="00793164">
        <w:rPr>
          <w:rFonts w:ascii="Times New Roman" w:hAnsi="Times New Roman" w:cs="Times New Roman"/>
          <w:sz w:val="24"/>
          <w:szCs w:val="24"/>
        </w:rPr>
        <w:t>potrivit</w:t>
      </w:r>
      <w:r w:rsidR="000F6808">
        <w:rPr>
          <w:rFonts w:ascii="Times New Roman" w:hAnsi="Times New Roman" w:cs="Times New Roman"/>
          <w:sz w:val="24"/>
          <w:szCs w:val="24"/>
        </w:rPr>
        <w:t xml:space="preserve"> rezultatelor de tranzacționare comunicate conform</w:t>
      </w:r>
      <w:r w:rsidR="00793164">
        <w:rPr>
          <w:rFonts w:ascii="Times New Roman" w:hAnsi="Times New Roman" w:cs="Times New Roman"/>
          <w:sz w:val="24"/>
          <w:szCs w:val="24"/>
        </w:rPr>
        <w:t xml:space="preserve"> Procedurii </w:t>
      </w:r>
      <w:r w:rsidR="00FF3725">
        <w:rPr>
          <w:rFonts w:ascii="Times New Roman" w:hAnsi="Times New Roman" w:cs="Times New Roman"/>
          <w:sz w:val="24"/>
          <w:szCs w:val="24"/>
        </w:rPr>
        <w:t xml:space="preserve">PZU </w:t>
      </w:r>
      <w:r w:rsidRPr="002202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8E6D41" w14:textId="39578ECF" w:rsidR="003649C5" w:rsidRPr="002202F9" w:rsidRDefault="00E02648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S</w:t>
      </w:r>
      <w:r w:rsidR="003649C5" w:rsidRPr="002202F9">
        <w:rPr>
          <w:rFonts w:ascii="Times New Roman" w:hAnsi="Times New Roman" w:cs="Times New Roman"/>
          <w:sz w:val="24"/>
          <w:szCs w:val="24"/>
        </w:rPr>
        <w:t xml:space="preserve">ă furnizeze </w:t>
      </w:r>
      <w:r w:rsidR="00F77EA1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s</w:t>
      </w:r>
      <w:r w:rsidR="00F77EA1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men</w:t>
      </w:r>
      <w:r w:rsidR="00F77EA1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in</w:t>
      </w:r>
      <w:r w:rsidR="00F77EA1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F2521A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permanen</w:t>
      </w:r>
      <w:r w:rsidR="00A71C98">
        <w:rPr>
          <w:rFonts w:ascii="Times New Roman" w:hAnsi="Times New Roman" w:cs="Times New Roman"/>
          <w:sz w:val="24"/>
          <w:szCs w:val="24"/>
        </w:rPr>
        <w:t>ţă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un nivel de </w:t>
      </w:r>
      <w:r w:rsidR="003649C5" w:rsidRPr="002202F9">
        <w:rPr>
          <w:rFonts w:ascii="Times New Roman" w:hAnsi="Times New Roman" w:cs="Times New Roman"/>
          <w:sz w:val="24"/>
          <w:szCs w:val="24"/>
        </w:rPr>
        <w:t xml:space="preserve">garanții conform </w:t>
      </w:r>
      <w:r w:rsidRPr="002202F9">
        <w:rPr>
          <w:rFonts w:ascii="Times New Roman" w:hAnsi="Times New Roman" w:cs="Times New Roman"/>
          <w:sz w:val="24"/>
          <w:szCs w:val="24"/>
        </w:rPr>
        <w:t xml:space="preserve">prezentei </w:t>
      </w:r>
      <w:r w:rsidR="00CA072B" w:rsidRPr="002202F9">
        <w:rPr>
          <w:rFonts w:ascii="Times New Roman" w:hAnsi="Times New Roman" w:cs="Times New Roman"/>
          <w:sz w:val="24"/>
          <w:szCs w:val="24"/>
        </w:rPr>
        <w:t>procedur</w:t>
      </w:r>
      <w:r w:rsidR="00A71C98">
        <w:rPr>
          <w:rFonts w:ascii="Times New Roman" w:hAnsi="Times New Roman" w:cs="Times New Roman"/>
          <w:sz w:val="24"/>
          <w:szCs w:val="24"/>
        </w:rPr>
        <w:t>i</w:t>
      </w:r>
      <w:r w:rsidR="00F2521A">
        <w:rPr>
          <w:rFonts w:ascii="Times New Roman" w:hAnsi="Times New Roman" w:cs="Times New Roman"/>
          <w:sz w:val="24"/>
          <w:szCs w:val="24"/>
        </w:rPr>
        <w:t>.</w:t>
      </w:r>
    </w:p>
    <w:p w14:paraId="3674364A" w14:textId="60CC56EC" w:rsidR="003649C5" w:rsidRPr="002202F9" w:rsidRDefault="00577788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S</w:t>
      </w:r>
      <w:r w:rsidR="00A71C98">
        <w:rPr>
          <w:rFonts w:ascii="Times New Roman" w:hAnsi="Times New Roman" w:cs="Times New Roman"/>
          <w:sz w:val="24"/>
          <w:szCs w:val="24"/>
        </w:rPr>
        <w:t>ă</w:t>
      </w:r>
      <w:r w:rsidR="003649C5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A71C98">
        <w:rPr>
          <w:rFonts w:ascii="Times New Roman" w:hAnsi="Times New Roman" w:cs="Times New Roman"/>
          <w:sz w:val="24"/>
          <w:szCs w:val="24"/>
        </w:rPr>
        <w:t>î</w:t>
      </w:r>
      <w:r w:rsidR="00CA072B" w:rsidRPr="002202F9">
        <w:rPr>
          <w:rFonts w:ascii="Times New Roman" w:hAnsi="Times New Roman" w:cs="Times New Roman"/>
          <w:sz w:val="24"/>
          <w:szCs w:val="24"/>
        </w:rPr>
        <w:t>nchei</w:t>
      </w:r>
      <w:r w:rsidRPr="002202F9">
        <w:rPr>
          <w:rFonts w:ascii="Times New Roman" w:hAnsi="Times New Roman" w:cs="Times New Roman"/>
          <w:sz w:val="24"/>
          <w:szCs w:val="24"/>
        </w:rPr>
        <w:t xml:space="preserve">e </w:t>
      </w:r>
      <w:r w:rsidR="00CA072B" w:rsidRPr="002202F9">
        <w:rPr>
          <w:rFonts w:ascii="Times New Roman" w:hAnsi="Times New Roman" w:cs="Times New Roman"/>
          <w:sz w:val="24"/>
          <w:szCs w:val="24"/>
        </w:rPr>
        <w:t xml:space="preserve">un MDD </w:t>
      </w:r>
      <w:r w:rsidR="00F2521A">
        <w:rPr>
          <w:rFonts w:ascii="Times New Roman" w:hAnsi="Times New Roman" w:cs="Times New Roman"/>
          <w:sz w:val="24"/>
          <w:szCs w:val="24"/>
        </w:rPr>
        <w:t>î</w:t>
      </w:r>
      <w:r w:rsidR="0045536B" w:rsidRPr="002202F9">
        <w:rPr>
          <w:rFonts w:ascii="Times New Roman" w:hAnsi="Times New Roman" w:cs="Times New Roman"/>
          <w:sz w:val="24"/>
          <w:szCs w:val="24"/>
        </w:rPr>
        <w:t xml:space="preserve">n RON cu banca de decontare </w:t>
      </w:r>
      <w:r w:rsidR="00F2521A">
        <w:rPr>
          <w:rFonts w:ascii="Times New Roman" w:hAnsi="Times New Roman" w:cs="Times New Roman"/>
          <w:sz w:val="24"/>
          <w:szCs w:val="24"/>
        </w:rPr>
        <w:t>î</w:t>
      </w:r>
      <w:r w:rsidR="0045536B" w:rsidRPr="002202F9">
        <w:rPr>
          <w:rFonts w:ascii="Times New Roman" w:hAnsi="Times New Roman" w:cs="Times New Roman"/>
          <w:sz w:val="24"/>
          <w:szCs w:val="24"/>
        </w:rPr>
        <w:t xml:space="preserve">n favoarea BRM. </w:t>
      </w:r>
    </w:p>
    <w:p w14:paraId="69002535" w14:textId="3100D43E" w:rsidR="00577788" w:rsidRPr="00A0156A" w:rsidRDefault="00577788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S</w:t>
      </w:r>
      <w:r w:rsidR="00A71C98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notifice BRM </w:t>
      </w:r>
      <w:r w:rsidR="00A71C98" w:rsidRPr="00C05DE9">
        <w:rPr>
          <w:rFonts w:ascii="Times New Roman" w:hAnsi="Times New Roman" w:cs="Times New Roman"/>
          <w:sz w:val="24"/>
          <w:szCs w:val="24"/>
        </w:rPr>
        <w:t>cu privire la</w:t>
      </w:r>
      <w:r w:rsidRPr="00C05DE9">
        <w:rPr>
          <w:rFonts w:ascii="Times New Roman" w:hAnsi="Times New Roman" w:cs="Times New Roman"/>
          <w:sz w:val="24"/>
          <w:szCs w:val="24"/>
        </w:rPr>
        <w:t xml:space="preserve"> orice modificare care urmeaz</w:t>
      </w:r>
      <w:r w:rsidR="00A71C98" w:rsidRPr="00C05DE9">
        <w:rPr>
          <w:rFonts w:ascii="Times New Roman" w:hAnsi="Times New Roman" w:cs="Times New Roman"/>
          <w:sz w:val="24"/>
          <w:szCs w:val="24"/>
        </w:rPr>
        <w:t>ă</w:t>
      </w:r>
      <w:r w:rsidRPr="00C05DE9">
        <w:rPr>
          <w:rFonts w:ascii="Times New Roman" w:hAnsi="Times New Roman" w:cs="Times New Roman"/>
          <w:sz w:val="24"/>
          <w:szCs w:val="24"/>
        </w:rPr>
        <w:t xml:space="preserve"> </w:t>
      </w:r>
      <w:r w:rsidR="00A71C98" w:rsidRPr="00C05DE9">
        <w:rPr>
          <w:rFonts w:ascii="Times New Roman" w:hAnsi="Times New Roman" w:cs="Times New Roman"/>
          <w:sz w:val="24"/>
          <w:szCs w:val="24"/>
        </w:rPr>
        <w:t xml:space="preserve">să </w:t>
      </w:r>
      <w:r w:rsidRPr="00C05DE9">
        <w:rPr>
          <w:rFonts w:ascii="Times New Roman" w:hAnsi="Times New Roman" w:cs="Times New Roman"/>
          <w:sz w:val="24"/>
          <w:szCs w:val="24"/>
        </w:rPr>
        <w:t>fie efectuat</w:t>
      </w:r>
      <w:r w:rsidR="00A71C98" w:rsidRPr="00C05DE9">
        <w:rPr>
          <w:rFonts w:ascii="Times New Roman" w:hAnsi="Times New Roman" w:cs="Times New Roman"/>
          <w:sz w:val="24"/>
          <w:szCs w:val="24"/>
        </w:rPr>
        <w:t>ă</w:t>
      </w:r>
      <w:r w:rsidRPr="00C05DE9">
        <w:rPr>
          <w:rFonts w:ascii="Times New Roman" w:hAnsi="Times New Roman" w:cs="Times New Roman"/>
          <w:sz w:val="24"/>
          <w:szCs w:val="24"/>
        </w:rPr>
        <w:t xml:space="preserve"> </w:t>
      </w:r>
      <w:r w:rsidR="00A71C98" w:rsidRPr="00C05DE9">
        <w:rPr>
          <w:rFonts w:ascii="Times New Roman" w:hAnsi="Times New Roman" w:cs="Times New Roman"/>
          <w:sz w:val="24"/>
          <w:szCs w:val="24"/>
        </w:rPr>
        <w:t xml:space="preserve">privind </w:t>
      </w:r>
      <w:r w:rsidRPr="00C05DE9">
        <w:rPr>
          <w:rFonts w:ascii="Times New Roman" w:hAnsi="Times New Roman" w:cs="Times New Roman"/>
          <w:sz w:val="24"/>
          <w:szCs w:val="24"/>
        </w:rPr>
        <w:t>sc</w:t>
      </w:r>
      <w:r w:rsidR="00A71C98" w:rsidRPr="00C05DE9">
        <w:rPr>
          <w:rFonts w:ascii="Times New Roman" w:hAnsi="Times New Roman" w:cs="Times New Roman"/>
          <w:sz w:val="24"/>
          <w:szCs w:val="24"/>
        </w:rPr>
        <w:t>ă</w:t>
      </w:r>
      <w:r w:rsidRPr="00C05DE9">
        <w:rPr>
          <w:rFonts w:ascii="Times New Roman" w:hAnsi="Times New Roman" w:cs="Times New Roman"/>
          <w:sz w:val="24"/>
          <w:szCs w:val="24"/>
        </w:rPr>
        <w:t>derea limitei sau</w:t>
      </w:r>
      <w:r w:rsidRPr="002202F9">
        <w:rPr>
          <w:rFonts w:ascii="Times New Roman" w:hAnsi="Times New Roman" w:cs="Times New Roman"/>
          <w:sz w:val="24"/>
          <w:szCs w:val="24"/>
        </w:rPr>
        <w:t xml:space="preserve"> reducerea valabilita</w:t>
      </w:r>
      <w:r w:rsidR="00A71C98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ii  unui MDD</w:t>
      </w:r>
      <w:r w:rsidR="00C05DE9">
        <w:rPr>
          <w:rFonts w:ascii="Times New Roman" w:hAnsi="Times New Roman" w:cs="Times New Roman"/>
          <w:sz w:val="24"/>
          <w:szCs w:val="24"/>
        </w:rPr>
        <w:t>,</w:t>
      </w:r>
      <w:r w:rsidRPr="002202F9">
        <w:rPr>
          <w:rFonts w:ascii="Times New Roman" w:hAnsi="Times New Roman" w:cs="Times New Roman"/>
          <w:sz w:val="24"/>
          <w:szCs w:val="24"/>
        </w:rPr>
        <w:t xml:space="preserve"> cu cel pu</w:t>
      </w:r>
      <w:r w:rsidR="00F2521A">
        <w:rPr>
          <w:rFonts w:ascii="Times New Roman" w:hAnsi="Times New Roman" w:cs="Times New Roman"/>
          <w:sz w:val="24"/>
          <w:szCs w:val="24"/>
        </w:rPr>
        <w:t>ț</w:t>
      </w:r>
      <w:r w:rsidRPr="002202F9">
        <w:rPr>
          <w:rFonts w:ascii="Times New Roman" w:hAnsi="Times New Roman" w:cs="Times New Roman"/>
          <w:sz w:val="24"/>
          <w:szCs w:val="24"/>
        </w:rPr>
        <w:t>in 2 zile lucr</w:t>
      </w:r>
      <w:r w:rsidR="00F2521A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toare </w:t>
      </w:r>
      <w:r w:rsidR="00A71C98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 xml:space="preserve">nainte </w:t>
      </w:r>
      <w:r w:rsidRPr="00A0156A">
        <w:rPr>
          <w:rFonts w:ascii="Times New Roman" w:hAnsi="Times New Roman" w:cs="Times New Roman"/>
          <w:sz w:val="24"/>
          <w:szCs w:val="24"/>
        </w:rPr>
        <w:t xml:space="preserve">de intrarea </w:t>
      </w:r>
      <w:r w:rsidR="00A71C98" w:rsidRPr="00A0156A">
        <w:rPr>
          <w:rFonts w:ascii="Times New Roman" w:hAnsi="Times New Roman" w:cs="Times New Roman"/>
          <w:sz w:val="24"/>
          <w:szCs w:val="24"/>
        </w:rPr>
        <w:t>î</w:t>
      </w:r>
      <w:r w:rsidRPr="00A0156A">
        <w:rPr>
          <w:rFonts w:ascii="Times New Roman" w:hAnsi="Times New Roman" w:cs="Times New Roman"/>
          <w:sz w:val="24"/>
          <w:szCs w:val="24"/>
        </w:rPr>
        <w:t xml:space="preserve">n vigoare.  </w:t>
      </w:r>
    </w:p>
    <w:p w14:paraId="1D781C57" w14:textId="35AD87BA" w:rsidR="0045536B" w:rsidRPr="00A0156A" w:rsidRDefault="00577788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A0156A">
        <w:rPr>
          <w:rFonts w:ascii="Times New Roman" w:hAnsi="Times New Roman" w:cs="Times New Roman"/>
          <w:sz w:val="24"/>
          <w:szCs w:val="24"/>
        </w:rPr>
        <w:t>S</w:t>
      </w:r>
      <w:r w:rsidR="00A71C98" w:rsidRPr="00A0156A">
        <w:rPr>
          <w:rFonts w:ascii="Times New Roman" w:hAnsi="Times New Roman" w:cs="Times New Roman"/>
          <w:sz w:val="24"/>
          <w:szCs w:val="24"/>
        </w:rPr>
        <w:t>ă</w:t>
      </w:r>
      <w:r w:rsidR="0045536B" w:rsidRPr="00A0156A">
        <w:rPr>
          <w:rFonts w:ascii="Times New Roman" w:hAnsi="Times New Roman" w:cs="Times New Roman"/>
          <w:sz w:val="24"/>
          <w:szCs w:val="24"/>
        </w:rPr>
        <w:t xml:space="preserve"> acțion</w:t>
      </w:r>
      <w:r w:rsidRPr="00A0156A">
        <w:rPr>
          <w:rFonts w:ascii="Times New Roman" w:hAnsi="Times New Roman" w:cs="Times New Roman"/>
          <w:sz w:val="24"/>
          <w:szCs w:val="24"/>
        </w:rPr>
        <w:t>eze</w:t>
      </w:r>
      <w:r w:rsidR="0045536B" w:rsidRPr="00A0156A">
        <w:rPr>
          <w:rFonts w:ascii="Times New Roman" w:hAnsi="Times New Roman" w:cs="Times New Roman"/>
          <w:sz w:val="24"/>
          <w:szCs w:val="24"/>
        </w:rPr>
        <w:t xml:space="preserve"> exclusiv în nume propriu. </w:t>
      </w:r>
    </w:p>
    <w:p w14:paraId="23539026" w14:textId="77777777" w:rsidR="003649C5" w:rsidRDefault="003649C5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Să asigure îndeplinirea tuturor obligațiilor din prezenta Procedură.</w:t>
      </w:r>
    </w:p>
    <w:p w14:paraId="0120C873" w14:textId="77777777" w:rsidR="0096631B" w:rsidRPr="002202F9" w:rsidRDefault="0096631B" w:rsidP="0096631B">
      <w:pPr>
        <w:pStyle w:val="ListParagraph"/>
        <w:spacing w:line="360" w:lineRule="auto"/>
        <w:ind w:left="634"/>
        <w:jc w:val="both"/>
        <w:rPr>
          <w:rFonts w:ascii="Times New Roman" w:hAnsi="Times New Roman" w:cs="Times New Roman"/>
          <w:sz w:val="24"/>
          <w:szCs w:val="24"/>
        </w:rPr>
      </w:pPr>
    </w:p>
    <w:p w14:paraId="545EB019" w14:textId="6723FA5C" w:rsidR="002844E0" w:rsidRPr="002202F9" w:rsidRDefault="002844E0" w:rsidP="00C961E0">
      <w:pPr>
        <w:pStyle w:val="Heading1"/>
        <w:numPr>
          <w:ilvl w:val="0"/>
          <w:numId w:val="9"/>
        </w:numPr>
        <w:spacing w:before="0"/>
        <w:ind w:left="634" w:hanging="634"/>
      </w:pPr>
      <w:bookmarkStart w:id="20" w:name="_Toc163209730"/>
      <w:bookmarkStart w:id="21" w:name="_Toc163209731"/>
      <w:bookmarkStart w:id="22" w:name="_Toc163211434"/>
      <w:bookmarkEnd w:id="20"/>
      <w:bookmarkEnd w:id="21"/>
      <w:r w:rsidRPr="002202F9">
        <w:t>Procesul de decontare</w:t>
      </w:r>
      <w:bookmarkEnd w:id="22"/>
      <w:r w:rsidRPr="002202F9">
        <w:t xml:space="preserve"> </w:t>
      </w:r>
    </w:p>
    <w:p w14:paraId="374FCEBB" w14:textId="4F2C1203" w:rsidR="00C57E21" w:rsidRPr="002202F9" w:rsidRDefault="00A71C98" w:rsidP="00C961E0">
      <w:pPr>
        <w:pStyle w:val="ListParagraph"/>
        <w:numPr>
          <w:ilvl w:val="0"/>
          <w:numId w:val="18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C57E21" w:rsidRPr="002202F9">
        <w:rPr>
          <w:rFonts w:ascii="Times New Roman" w:hAnsi="Times New Roman" w:cs="Times New Roman"/>
          <w:sz w:val="24"/>
          <w:szCs w:val="24"/>
        </w:rPr>
        <w:t>n vederea men</w:t>
      </w:r>
      <w:r>
        <w:rPr>
          <w:rFonts w:ascii="Times New Roman" w:hAnsi="Times New Roman" w:cs="Times New Roman"/>
          <w:sz w:val="24"/>
          <w:szCs w:val="24"/>
        </w:rPr>
        <w:t>ţ</w:t>
      </w:r>
      <w:r w:rsidR="00C57E21" w:rsidRPr="002202F9">
        <w:rPr>
          <w:rFonts w:ascii="Times New Roman" w:hAnsi="Times New Roman" w:cs="Times New Roman"/>
          <w:sz w:val="24"/>
          <w:szCs w:val="24"/>
        </w:rPr>
        <w:t>inerii accesului</w:t>
      </w:r>
      <w:r>
        <w:rPr>
          <w:rFonts w:ascii="Times New Roman" w:hAnsi="Times New Roman" w:cs="Times New Roman"/>
          <w:sz w:val="24"/>
          <w:szCs w:val="24"/>
        </w:rPr>
        <w:t xml:space="preserve"> unui Participant</w:t>
      </w:r>
      <w:r w:rsidR="00C57E21" w:rsidRPr="002202F9">
        <w:rPr>
          <w:rFonts w:ascii="Times New Roman" w:hAnsi="Times New Roman" w:cs="Times New Roman"/>
          <w:sz w:val="24"/>
          <w:szCs w:val="24"/>
        </w:rPr>
        <w:t xml:space="preserve"> la tranzac</w:t>
      </w:r>
      <w:r>
        <w:rPr>
          <w:rFonts w:ascii="Times New Roman" w:hAnsi="Times New Roman" w:cs="Times New Roman"/>
          <w:sz w:val="24"/>
          <w:szCs w:val="24"/>
        </w:rPr>
        <w:t>ţ</w:t>
      </w:r>
      <w:r w:rsidR="00C57E21" w:rsidRPr="002202F9">
        <w:rPr>
          <w:rFonts w:ascii="Times New Roman" w:hAnsi="Times New Roman" w:cs="Times New Roman"/>
          <w:sz w:val="24"/>
          <w:szCs w:val="24"/>
        </w:rPr>
        <w:t>ionare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7E21" w:rsidRPr="002202F9">
        <w:rPr>
          <w:rFonts w:ascii="Times New Roman" w:hAnsi="Times New Roman" w:cs="Times New Roman"/>
          <w:sz w:val="24"/>
          <w:szCs w:val="24"/>
        </w:rPr>
        <w:t xml:space="preserve"> este necesar ca procesul de decontare s</w:t>
      </w:r>
      <w:r>
        <w:rPr>
          <w:rFonts w:ascii="Times New Roman" w:hAnsi="Times New Roman" w:cs="Times New Roman"/>
          <w:sz w:val="24"/>
          <w:szCs w:val="24"/>
        </w:rPr>
        <w:t>ă</w:t>
      </w:r>
      <w:r w:rsidR="00C57E21" w:rsidRPr="002202F9">
        <w:rPr>
          <w:rFonts w:ascii="Times New Roman" w:hAnsi="Times New Roman" w:cs="Times New Roman"/>
          <w:sz w:val="24"/>
          <w:szCs w:val="24"/>
        </w:rPr>
        <w:t xml:space="preserve"> fie finalizat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C57E21" w:rsidRPr="002202F9">
        <w:rPr>
          <w:rFonts w:ascii="Times New Roman" w:hAnsi="Times New Roman" w:cs="Times New Roman"/>
          <w:sz w:val="24"/>
          <w:szCs w:val="24"/>
        </w:rPr>
        <w:t>n termenele impuse prin prezenta procedur</w:t>
      </w:r>
      <w:r>
        <w:rPr>
          <w:rFonts w:ascii="Times New Roman" w:hAnsi="Times New Roman" w:cs="Times New Roman"/>
          <w:sz w:val="24"/>
          <w:szCs w:val="24"/>
        </w:rPr>
        <w:t>ă</w:t>
      </w:r>
      <w:r w:rsidR="00C57E21" w:rsidRPr="002202F9">
        <w:rPr>
          <w:rFonts w:ascii="Times New Roman" w:hAnsi="Times New Roman" w:cs="Times New Roman"/>
          <w:sz w:val="24"/>
          <w:szCs w:val="24"/>
        </w:rPr>
        <w:t xml:space="preserve">, </w:t>
      </w:r>
      <w:r w:rsidRPr="002202F9">
        <w:rPr>
          <w:rFonts w:ascii="Times New Roman" w:hAnsi="Times New Roman" w:cs="Times New Roman"/>
          <w:sz w:val="24"/>
          <w:szCs w:val="24"/>
        </w:rPr>
        <w:t>asigur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2202F9">
        <w:rPr>
          <w:rFonts w:ascii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C57E21" w:rsidRPr="002202F9">
        <w:rPr>
          <w:rFonts w:ascii="Times New Roman" w:hAnsi="Times New Roman" w:cs="Times New Roman"/>
          <w:sz w:val="24"/>
          <w:szCs w:val="24"/>
        </w:rPr>
        <w:t>n acest mod o activitate ordonat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C57E21" w:rsidRPr="002202F9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C57E21" w:rsidRPr="002202F9">
        <w:rPr>
          <w:rFonts w:ascii="Times New Roman" w:hAnsi="Times New Roman" w:cs="Times New Roman"/>
          <w:sz w:val="24"/>
          <w:szCs w:val="24"/>
        </w:rPr>
        <w:t xml:space="preserve">ntregului proces de decontare </w:t>
      </w:r>
      <w:r>
        <w:rPr>
          <w:rFonts w:ascii="Times New Roman" w:hAnsi="Times New Roman" w:cs="Times New Roman"/>
          <w:sz w:val="24"/>
          <w:szCs w:val="24"/>
        </w:rPr>
        <w:t>ş</w:t>
      </w:r>
      <w:r w:rsidR="00C57E21" w:rsidRPr="002202F9">
        <w:rPr>
          <w:rFonts w:ascii="Times New Roman" w:hAnsi="Times New Roman" w:cs="Times New Roman"/>
          <w:sz w:val="24"/>
          <w:szCs w:val="24"/>
        </w:rPr>
        <w:t>i compensare operat de BRM in calitate de CCP.</w:t>
      </w:r>
    </w:p>
    <w:p w14:paraId="0896A7F9" w14:textId="05E474BE" w:rsidR="0049440A" w:rsidRPr="002202F9" w:rsidRDefault="0049440A" w:rsidP="00C961E0">
      <w:pPr>
        <w:pStyle w:val="ListParagraph"/>
        <w:numPr>
          <w:ilvl w:val="0"/>
          <w:numId w:val="18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BRM </w:t>
      </w:r>
      <w:r w:rsidR="00A71C98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calitate de CCP realizeaz</w:t>
      </w:r>
      <w:r w:rsidR="00A71C98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un proces de compensare a pl</w:t>
      </w:r>
      <w:r w:rsidR="00A71C98">
        <w:rPr>
          <w:rFonts w:ascii="Times New Roman" w:hAnsi="Times New Roman" w:cs="Times New Roman"/>
          <w:sz w:val="24"/>
          <w:szCs w:val="24"/>
        </w:rPr>
        <w:t>ăţ</w:t>
      </w:r>
      <w:r w:rsidRPr="002202F9">
        <w:rPr>
          <w:rFonts w:ascii="Times New Roman" w:hAnsi="Times New Roman" w:cs="Times New Roman"/>
          <w:sz w:val="24"/>
          <w:szCs w:val="24"/>
        </w:rPr>
        <w:t xml:space="preserve">ilor </w:t>
      </w:r>
      <w:r w:rsidR="00A71C98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 xml:space="preserve">i </w:t>
      </w:r>
      <w:r w:rsidR="00A71C98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ncas</w:t>
      </w:r>
      <w:r w:rsidR="00A71C98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rilor pentru fiecare Participant </w:t>
      </w:r>
      <w:r w:rsidR="00A71C98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vederea realiz</w:t>
      </w:r>
      <w:r w:rsidR="00A71C98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>rii unei decont</w:t>
      </w:r>
      <w:r w:rsidR="00A71C98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ri </w:t>
      </w:r>
      <w:r w:rsidRPr="00C05DE9">
        <w:rPr>
          <w:rFonts w:ascii="Times New Roman" w:hAnsi="Times New Roman" w:cs="Times New Roman"/>
          <w:sz w:val="24"/>
          <w:szCs w:val="24"/>
        </w:rPr>
        <w:t>nete pe baza zilnic</w:t>
      </w:r>
      <w:r w:rsidR="00A71C98" w:rsidRPr="00C05DE9">
        <w:rPr>
          <w:rFonts w:ascii="Times New Roman" w:hAnsi="Times New Roman" w:cs="Times New Roman"/>
          <w:sz w:val="24"/>
          <w:szCs w:val="24"/>
        </w:rPr>
        <w:t>ă</w:t>
      </w:r>
      <w:r w:rsidRPr="00C05DE9">
        <w:rPr>
          <w:rFonts w:ascii="Times New Roman" w:hAnsi="Times New Roman" w:cs="Times New Roman"/>
          <w:sz w:val="24"/>
          <w:szCs w:val="24"/>
        </w:rPr>
        <w:t>.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0107C" w14:textId="47FDF343" w:rsidR="00D0340C" w:rsidRPr="002202F9" w:rsidRDefault="00D0340C" w:rsidP="00C961E0">
      <w:pPr>
        <w:pStyle w:val="ListParagraph"/>
        <w:numPr>
          <w:ilvl w:val="0"/>
          <w:numId w:val="18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Decontarea este o parte esen</w:t>
      </w:r>
      <w:r w:rsidR="00A71C98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ial</w:t>
      </w:r>
      <w:r w:rsidR="00A71C98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a procesului de post tranzac</w:t>
      </w:r>
      <w:r w:rsidR="00A71C98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ionare ce are ca rol stingerea obliga</w:t>
      </w:r>
      <w:r w:rsidR="00A71C98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iilor b</w:t>
      </w:r>
      <w:r w:rsidR="00A71C98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>ne</w:t>
      </w:r>
      <w:r w:rsidR="00A71C98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ti determinate pe baza rezultatelor activit</w:t>
      </w:r>
      <w:r w:rsidR="00A71C98">
        <w:rPr>
          <w:rFonts w:ascii="Times New Roman" w:hAnsi="Times New Roman" w:cs="Times New Roman"/>
          <w:sz w:val="24"/>
          <w:szCs w:val="24"/>
        </w:rPr>
        <w:t>ăţ</w:t>
      </w:r>
      <w:r w:rsidRPr="002202F9">
        <w:rPr>
          <w:rFonts w:ascii="Times New Roman" w:hAnsi="Times New Roman" w:cs="Times New Roman"/>
          <w:sz w:val="24"/>
          <w:szCs w:val="24"/>
        </w:rPr>
        <w:t>ii de tranzac</w:t>
      </w:r>
      <w:r w:rsidR="00A71C98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ionare pentru una/mai multe zile de livrare. </w:t>
      </w:r>
    </w:p>
    <w:p w14:paraId="48862414" w14:textId="1E96A115" w:rsidR="008A5622" w:rsidRPr="002202F9" w:rsidRDefault="008A5622" w:rsidP="00C961E0">
      <w:pPr>
        <w:pStyle w:val="ListParagraph"/>
        <w:numPr>
          <w:ilvl w:val="0"/>
          <w:numId w:val="18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BRM calcule</w:t>
      </w:r>
      <w:r w:rsidR="00F2521A">
        <w:rPr>
          <w:rFonts w:ascii="Times New Roman" w:hAnsi="Times New Roman" w:cs="Times New Roman"/>
          <w:sz w:val="24"/>
          <w:szCs w:val="24"/>
        </w:rPr>
        <w:t>a</w:t>
      </w:r>
      <w:r w:rsidRPr="002202F9">
        <w:rPr>
          <w:rFonts w:ascii="Times New Roman" w:hAnsi="Times New Roman" w:cs="Times New Roman"/>
          <w:sz w:val="24"/>
          <w:szCs w:val="24"/>
        </w:rPr>
        <w:t>z</w:t>
      </w:r>
      <w:r w:rsidR="00A71C98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A71C98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 xml:space="preserve">n mod continuu </w:t>
      </w:r>
      <w:r w:rsidR="00A71C98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pune la dispozi</w:t>
      </w:r>
      <w:r w:rsidR="00A71C98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ia Participan</w:t>
      </w:r>
      <w:r w:rsidR="00A71C98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ilor</w:t>
      </w:r>
      <w:r w:rsidR="00223C3A" w:rsidRPr="002202F9">
        <w:rPr>
          <w:rFonts w:ascii="Times New Roman" w:hAnsi="Times New Roman" w:cs="Times New Roman"/>
          <w:sz w:val="24"/>
          <w:szCs w:val="24"/>
        </w:rPr>
        <w:t>, cel pu</w:t>
      </w:r>
      <w:r w:rsidR="00A71C98">
        <w:rPr>
          <w:rFonts w:ascii="Times New Roman" w:hAnsi="Times New Roman" w:cs="Times New Roman"/>
          <w:sz w:val="24"/>
          <w:szCs w:val="24"/>
        </w:rPr>
        <w:t>ţ</w:t>
      </w:r>
      <w:r w:rsidR="00223C3A" w:rsidRPr="002202F9">
        <w:rPr>
          <w:rFonts w:ascii="Times New Roman" w:hAnsi="Times New Roman" w:cs="Times New Roman"/>
          <w:sz w:val="24"/>
          <w:szCs w:val="24"/>
        </w:rPr>
        <w:t>in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A71C98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fiecare zi lucr</w:t>
      </w:r>
      <w:r w:rsidR="00AA0FED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toare </w:t>
      </w:r>
      <w:r w:rsidR="00AA0FED">
        <w:rPr>
          <w:rFonts w:ascii="Times New Roman" w:hAnsi="Times New Roman" w:cs="Times New Roman"/>
          <w:sz w:val="24"/>
          <w:szCs w:val="24"/>
        </w:rPr>
        <w:t>î</w:t>
      </w:r>
      <w:r w:rsidR="00223C3A" w:rsidRPr="002202F9">
        <w:rPr>
          <w:rFonts w:ascii="Times New Roman" w:hAnsi="Times New Roman" w:cs="Times New Roman"/>
          <w:sz w:val="24"/>
          <w:szCs w:val="24"/>
        </w:rPr>
        <w:t>n care se face decontare</w:t>
      </w:r>
      <w:r w:rsidR="00AA0FED">
        <w:rPr>
          <w:rFonts w:ascii="Times New Roman" w:hAnsi="Times New Roman" w:cs="Times New Roman"/>
          <w:sz w:val="24"/>
          <w:szCs w:val="24"/>
        </w:rPr>
        <w:t>a</w:t>
      </w:r>
      <w:r w:rsidR="00223C3A" w:rsidRPr="002202F9">
        <w:rPr>
          <w:rFonts w:ascii="Times New Roman" w:hAnsi="Times New Roman" w:cs="Times New Roman"/>
          <w:sz w:val="24"/>
          <w:szCs w:val="24"/>
        </w:rPr>
        <w:t xml:space="preserve">, </w:t>
      </w:r>
      <w:r w:rsidRPr="002202F9">
        <w:rPr>
          <w:rFonts w:ascii="Times New Roman" w:hAnsi="Times New Roman" w:cs="Times New Roman"/>
          <w:sz w:val="24"/>
          <w:szCs w:val="24"/>
        </w:rPr>
        <w:t>situa</w:t>
      </w:r>
      <w:r w:rsidR="00AA0FED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ia obliga</w:t>
      </w:r>
      <w:r w:rsidR="00AA0FED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iilor </w:t>
      </w:r>
      <w:r w:rsidR="00AA0FED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drepturilor b</w:t>
      </w:r>
      <w:r w:rsidR="00AA0FED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>ne</w:t>
      </w:r>
      <w:r w:rsidR="00F2521A">
        <w:rPr>
          <w:rFonts w:ascii="Times New Roman" w:hAnsi="Times New Roman" w:cs="Times New Roman"/>
          <w:sz w:val="24"/>
          <w:szCs w:val="24"/>
        </w:rPr>
        <w:t>ș</w:t>
      </w:r>
      <w:r w:rsidRPr="002202F9">
        <w:rPr>
          <w:rFonts w:ascii="Times New Roman" w:hAnsi="Times New Roman" w:cs="Times New Roman"/>
          <w:sz w:val="24"/>
          <w:szCs w:val="24"/>
        </w:rPr>
        <w:t xml:space="preserve">ti rezultate din </w:t>
      </w:r>
      <w:r w:rsidRPr="002202F9">
        <w:rPr>
          <w:rFonts w:ascii="Times New Roman" w:hAnsi="Times New Roman" w:cs="Times New Roman"/>
          <w:sz w:val="24"/>
          <w:szCs w:val="24"/>
        </w:rPr>
        <w:lastRenderedPageBreak/>
        <w:t>activitatea de tranzac</w:t>
      </w:r>
      <w:r w:rsidR="00AA0FED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ionare</w:t>
      </w:r>
      <w:r w:rsidR="00AA0FED">
        <w:rPr>
          <w:rFonts w:ascii="Times New Roman" w:hAnsi="Times New Roman" w:cs="Times New Roman"/>
          <w:sz w:val="24"/>
          <w:szCs w:val="24"/>
        </w:rPr>
        <w:t>,</w:t>
      </w:r>
      <w:r w:rsidRPr="002202F9">
        <w:rPr>
          <w:rFonts w:ascii="Times New Roman" w:hAnsi="Times New Roman" w:cs="Times New Roman"/>
          <w:sz w:val="24"/>
          <w:szCs w:val="24"/>
        </w:rPr>
        <w:t xml:space="preserve"> prin emiterea unei situa</w:t>
      </w:r>
      <w:r w:rsidR="00AA0FED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ii detaliate, respectiv NZD.</w:t>
      </w:r>
      <w:r w:rsidR="00EA4C3B" w:rsidRPr="002202F9">
        <w:rPr>
          <w:rFonts w:ascii="Times New Roman" w:hAnsi="Times New Roman" w:cs="Times New Roman"/>
          <w:sz w:val="24"/>
          <w:szCs w:val="24"/>
        </w:rPr>
        <w:t xml:space="preserve"> Modelul de NZD se reg</w:t>
      </w:r>
      <w:r w:rsidR="00AA0FED">
        <w:rPr>
          <w:rFonts w:ascii="Times New Roman" w:hAnsi="Times New Roman" w:cs="Times New Roman"/>
          <w:sz w:val="24"/>
          <w:szCs w:val="24"/>
        </w:rPr>
        <w:t>ă</w:t>
      </w:r>
      <w:r w:rsidR="00EA4C3B" w:rsidRPr="002202F9">
        <w:rPr>
          <w:rFonts w:ascii="Times New Roman" w:hAnsi="Times New Roman" w:cs="Times New Roman"/>
          <w:sz w:val="24"/>
          <w:szCs w:val="24"/>
        </w:rPr>
        <w:t xml:space="preserve">seste </w:t>
      </w:r>
      <w:r w:rsidR="00AA0FED">
        <w:rPr>
          <w:rFonts w:ascii="Times New Roman" w:hAnsi="Times New Roman" w:cs="Times New Roman"/>
          <w:sz w:val="24"/>
          <w:szCs w:val="24"/>
        </w:rPr>
        <w:t>în</w:t>
      </w:r>
      <w:r w:rsidR="00EA4C3B" w:rsidRPr="002202F9">
        <w:rPr>
          <w:rFonts w:ascii="Times New Roman" w:hAnsi="Times New Roman" w:cs="Times New Roman"/>
          <w:sz w:val="24"/>
          <w:szCs w:val="24"/>
        </w:rPr>
        <w:t xml:space="preserve"> Anexa 1 la prezenta procedur</w:t>
      </w:r>
      <w:r w:rsidR="00AA0FED">
        <w:rPr>
          <w:rFonts w:ascii="Times New Roman" w:hAnsi="Times New Roman" w:cs="Times New Roman"/>
          <w:sz w:val="24"/>
          <w:szCs w:val="24"/>
        </w:rPr>
        <w:t>ă</w:t>
      </w:r>
      <w:r w:rsidR="00EA4C3B" w:rsidRPr="002202F9">
        <w:rPr>
          <w:rFonts w:ascii="Times New Roman" w:hAnsi="Times New Roman" w:cs="Times New Roman"/>
          <w:sz w:val="24"/>
          <w:szCs w:val="24"/>
        </w:rPr>
        <w:t>.</w:t>
      </w:r>
    </w:p>
    <w:p w14:paraId="02428511" w14:textId="386242AC" w:rsidR="00223C3A" w:rsidRPr="002202F9" w:rsidRDefault="00223C3A" w:rsidP="00C961E0">
      <w:pPr>
        <w:pStyle w:val="ListParagraph"/>
        <w:numPr>
          <w:ilvl w:val="0"/>
          <w:numId w:val="18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BRM elaborează NZD, în care sunt înregistrate cantitățile </w:t>
      </w:r>
      <w:r w:rsidR="00F2521A">
        <w:rPr>
          <w:rFonts w:ascii="Times New Roman" w:hAnsi="Times New Roman" w:cs="Times New Roman"/>
          <w:sz w:val="24"/>
          <w:szCs w:val="24"/>
        </w:rPr>
        <w:t>ș</w:t>
      </w:r>
      <w:r w:rsidR="00AE4DED" w:rsidRPr="002202F9">
        <w:rPr>
          <w:rFonts w:ascii="Times New Roman" w:hAnsi="Times New Roman" w:cs="Times New Roman"/>
          <w:sz w:val="24"/>
          <w:szCs w:val="24"/>
        </w:rPr>
        <w:t xml:space="preserve">i valorile totale și nete ale obligațiilor de plată/drepturilor de încasare </w:t>
      </w:r>
      <w:r w:rsidRPr="002202F9">
        <w:rPr>
          <w:rFonts w:ascii="Times New Roman" w:hAnsi="Times New Roman" w:cs="Times New Roman"/>
          <w:sz w:val="24"/>
          <w:szCs w:val="24"/>
        </w:rPr>
        <w:t>aferente tranzacțiilor de cumpărare/vânzare de energie electric</w:t>
      </w:r>
      <w:r w:rsidR="00F2521A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pentru </w:t>
      </w:r>
      <w:r w:rsidR="00AE4DED" w:rsidRPr="002202F9">
        <w:rPr>
          <w:rFonts w:ascii="Times New Roman" w:hAnsi="Times New Roman" w:cs="Times New Roman"/>
          <w:sz w:val="24"/>
          <w:szCs w:val="24"/>
        </w:rPr>
        <w:t xml:space="preserve">fiecare </w:t>
      </w:r>
      <w:r w:rsidRPr="002202F9">
        <w:rPr>
          <w:rFonts w:ascii="Times New Roman" w:hAnsi="Times New Roman" w:cs="Times New Roman"/>
          <w:sz w:val="24"/>
          <w:szCs w:val="24"/>
        </w:rPr>
        <w:t xml:space="preserve">zi de livrare </w:t>
      </w:r>
      <w:r w:rsidR="00F2521A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ore CET</w:t>
      </w:r>
      <w:r w:rsidR="00AE4DED" w:rsidRPr="002202F9">
        <w:rPr>
          <w:rFonts w:ascii="Times New Roman" w:hAnsi="Times New Roman" w:cs="Times New Roman"/>
          <w:sz w:val="24"/>
          <w:szCs w:val="24"/>
        </w:rPr>
        <w:t>.</w:t>
      </w:r>
    </w:p>
    <w:p w14:paraId="63C32B9A" w14:textId="7D6807C8" w:rsidR="00AE4DED" w:rsidRPr="002202F9" w:rsidRDefault="00FF3725" w:rsidP="00C961E0">
      <w:pPr>
        <w:pStyle w:val="ListParagraph"/>
        <w:numPr>
          <w:ilvl w:val="0"/>
          <w:numId w:val="18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2202F9">
        <w:rPr>
          <w:rFonts w:ascii="Times New Roman" w:hAnsi="Times New Roman" w:cs="Times New Roman"/>
          <w:sz w:val="24"/>
          <w:szCs w:val="24"/>
        </w:rPr>
        <w:t>ealizarea decont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rii </w:t>
      </w:r>
      <w:r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factur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rii </w:t>
      </w:r>
      <w:r>
        <w:rPr>
          <w:rFonts w:ascii="Times New Roman" w:hAnsi="Times New Roman" w:cs="Times New Roman"/>
          <w:sz w:val="24"/>
          <w:szCs w:val="24"/>
        </w:rPr>
        <w:t>se efectueaz</w:t>
      </w:r>
      <w:r w:rsidR="00DF7C7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C7A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 RON.</w:t>
      </w:r>
    </w:p>
    <w:p w14:paraId="3BF90179" w14:textId="432070ED" w:rsidR="008A5622" w:rsidRPr="002202F9" w:rsidRDefault="00223C3A" w:rsidP="00C961E0">
      <w:pPr>
        <w:pStyle w:val="ListParagraph"/>
        <w:numPr>
          <w:ilvl w:val="0"/>
          <w:numId w:val="18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NZD este pus</w:t>
      </w:r>
      <w:r w:rsidR="00AA0FED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la dipozi</w:t>
      </w:r>
      <w:r w:rsidR="00AA0FED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ia tuturor Participan</w:t>
      </w:r>
      <w:r w:rsidR="00AA0FED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ilor prin intermediul unei platforme electronice dedicate, accesibil</w:t>
      </w:r>
      <w:r w:rsidR="00AA0FED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pe baz</w:t>
      </w:r>
      <w:r w:rsidR="00AA0FED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de utilizator </w:t>
      </w:r>
      <w:r w:rsidR="00625420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parol</w:t>
      </w:r>
      <w:r w:rsidR="00AA0FED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, precum </w:t>
      </w:r>
      <w:r w:rsidR="00AA0FED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la cerere pe email</w:t>
      </w:r>
      <w:r w:rsidR="0064057B" w:rsidRPr="002202F9">
        <w:rPr>
          <w:rFonts w:ascii="Times New Roman" w:hAnsi="Times New Roman" w:cs="Times New Roman"/>
          <w:sz w:val="24"/>
          <w:szCs w:val="24"/>
        </w:rPr>
        <w:t xml:space="preserve">, </w:t>
      </w:r>
      <w:r w:rsidR="00AA0FED">
        <w:rPr>
          <w:rFonts w:ascii="Times New Roman" w:hAnsi="Times New Roman" w:cs="Times New Roman"/>
          <w:sz w:val="24"/>
          <w:szCs w:val="24"/>
        </w:rPr>
        <w:t>î</w:t>
      </w:r>
      <w:r w:rsidR="0064057B" w:rsidRPr="002202F9">
        <w:rPr>
          <w:rFonts w:ascii="Times New Roman" w:hAnsi="Times New Roman" w:cs="Times New Roman"/>
          <w:sz w:val="24"/>
          <w:szCs w:val="24"/>
        </w:rPr>
        <w:t xml:space="preserve">n format electronic editabil, cel putin </w:t>
      </w:r>
      <w:r w:rsidR="0064057B" w:rsidRPr="00AA0FE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606E7" w:rsidRPr="00AA0FED">
        <w:rPr>
          <w:rFonts w:ascii="Times New Roman" w:hAnsi="Times New Roman" w:cs="Times New Roman"/>
          <w:i/>
          <w:iCs/>
          <w:sz w:val="24"/>
          <w:szCs w:val="24"/>
        </w:rPr>
        <w:t>xls</w:t>
      </w:r>
      <w:r w:rsidR="0064057B" w:rsidRPr="002202F9">
        <w:rPr>
          <w:rFonts w:ascii="Times New Roman" w:hAnsi="Times New Roman" w:cs="Times New Roman"/>
          <w:sz w:val="24"/>
          <w:szCs w:val="24"/>
        </w:rPr>
        <w:t>.</w:t>
      </w:r>
    </w:p>
    <w:p w14:paraId="6F35D88F" w14:textId="3B2C80F9" w:rsidR="00262150" w:rsidRPr="002202F9" w:rsidRDefault="00AA0FED" w:rsidP="00C961E0">
      <w:pPr>
        <w:pStyle w:val="ListParagraph"/>
        <w:numPr>
          <w:ilvl w:val="0"/>
          <w:numId w:val="18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Hlk178585537"/>
      <w:r>
        <w:rPr>
          <w:rFonts w:ascii="Times New Roman" w:hAnsi="Times New Roman" w:cs="Times New Roman"/>
          <w:sz w:val="24"/>
          <w:szCs w:val="24"/>
        </w:rPr>
        <w:t>Î</w:t>
      </w:r>
      <w:r w:rsidR="001F0018" w:rsidRPr="002202F9">
        <w:rPr>
          <w:rFonts w:ascii="Times New Roman" w:hAnsi="Times New Roman" w:cs="Times New Roman"/>
          <w:sz w:val="24"/>
          <w:szCs w:val="24"/>
        </w:rPr>
        <w:t xml:space="preserve">n cadrul NZD </w:t>
      </w:r>
      <w:r w:rsidR="00262150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1F0018" w:rsidRPr="002202F9">
        <w:rPr>
          <w:rFonts w:ascii="Times New Roman" w:hAnsi="Times New Roman" w:cs="Times New Roman"/>
          <w:sz w:val="24"/>
          <w:szCs w:val="24"/>
        </w:rPr>
        <w:t>se reg</w:t>
      </w:r>
      <w:r>
        <w:rPr>
          <w:rFonts w:ascii="Times New Roman" w:hAnsi="Times New Roman" w:cs="Times New Roman"/>
          <w:sz w:val="24"/>
          <w:szCs w:val="24"/>
        </w:rPr>
        <w:t>ă</w:t>
      </w:r>
      <w:r w:rsidR="001F0018" w:rsidRPr="002202F9">
        <w:rPr>
          <w:rFonts w:ascii="Times New Roman" w:hAnsi="Times New Roman" w:cs="Times New Roman"/>
          <w:sz w:val="24"/>
          <w:szCs w:val="24"/>
        </w:rPr>
        <w:t>sesc cel pu</w:t>
      </w:r>
      <w:r w:rsidR="00D52A12">
        <w:rPr>
          <w:rFonts w:ascii="Times New Roman" w:hAnsi="Times New Roman" w:cs="Times New Roman"/>
          <w:sz w:val="24"/>
          <w:szCs w:val="24"/>
        </w:rPr>
        <w:t>ț</w:t>
      </w:r>
      <w:r w:rsidR="001F0018" w:rsidRPr="002202F9">
        <w:rPr>
          <w:rFonts w:ascii="Times New Roman" w:hAnsi="Times New Roman" w:cs="Times New Roman"/>
          <w:sz w:val="24"/>
          <w:szCs w:val="24"/>
        </w:rPr>
        <w:t xml:space="preserve">in </w:t>
      </w:r>
      <w:r w:rsidR="00262150" w:rsidRPr="002202F9">
        <w:rPr>
          <w:rFonts w:ascii="Times New Roman" w:hAnsi="Times New Roman" w:cs="Times New Roman"/>
          <w:sz w:val="24"/>
          <w:szCs w:val="24"/>
        </w:rPr>
        <w:t>următoarele informații:</w:t>
      </w:r>
    </w:p>
    <w:p w14:paraId="36C222A2" w14:textId="02166343" w:rsidR="00A82A1C" w:rsidRPr="002202F9" w:rsidRDefault="002E1B8A" w:rsidP="00C961E0">
      <w:pPr>
        <w:pStyle w:val="ListParagraph"/>
        <w:numPr>
          <w:ilvl w:val="1"/>
          <w:numId w:val="1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d</w:t>
      </w:r>
      <w:r w:rsidR="00A82A1C" w:rsidRPr="002202F9">
        <w:rPr>
          <w:rFonts w:ascii="Times New Roman" w:hAnsi="Times New Roman" w:cs="Times New Roman"/>
          <w:sz w:val="24"/>
          <w:szCs w:val="24"/>
        </w:rPr>
        <w:t xml:space="preserve">enumirea participantului, ziua de livrare </w:t>
      </w:r>
      <w:r w:rsidR="00AA0FED">
        <w:rPr>
          <w:rFonts w:ascii="Times New Roman" w:hAnsi="Times New Roman" w:cs="Times New Roman"/>
          <w:sz w:val="24"/>
          <w:szCs w:val="24"/>
        </w:rPr>
        <w:t>î</w:t>
      </w:r>
      <w:r w:rsidR="00A82A1C" w:rsidRPr="002202F9">
        <w:rPr>
          <w:rFonts w:ascii="Times New Roman" w:hAnsi="Times New Roman" w:cs="Times New Roman"/>
          <w:sz w:val="24"/>
          <w:szCs w:val="24"/>
        </w:rPr>
        <w:t>n ore CET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AA0FED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 xml:space="preserve">i moneda </w:t>
      </w:r>
      <w:r w:rsidR="00AA0FED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care este prezentat</w:t>
      </w:r>
      <w:r w:rsidR="00AA0FED">
        <w:rPr>
          <w:rFonts w:ascii="Times New Roman" w:hAnsi="Times New Roman" w:cs="Times New Roman"/>
          <w:sz w:val="24"/>
          <w:szCs w:val="24"/>
        </w:rPr>
        <w:t xml:space="preserve">ă </w:t>
      </w:r>
      <w:r w:rsidRPr="002202F9">
        <w:rPr>
          <w:rFonts w:ascii="Times New Roman" w:hAnsi="Times New Roman" w:cs="Times New Roman"/>
          <w:sz w:val="24"/>
          <w:szCs w:val="24"/>
        </w:rPr>
        <w:t xml:space="preserve">NZD, respectiv </w:t>
      </w:r>
      <w:r w:rsidR="00AA0FED">
        <w:rPr>
          <w:rFonts w:ascii="Times New Roman" w:hAnsi="Times New Roman" w:cs="Times New Roman"/>
          <w:sz w:val="24"/>
          <w:szCs w:val="24"/>
        </w:rPr>
        <w:t>R</w:t>
      </w:r>
      <w:r w:rsidR="00DF7C7A">
        <w:rPr>
          <w:rFonts w:ascii="Times New Roman" w:hAnsi="Times New Roman" w:cs="Times New Roman"/>
          <w:sz w:val="24"/>
          <w:szCs w:val="24"/>
        </w:rPr>
        <w:t>ON</w:t>
      </w:r>
      <w:r w:rsidR="00AA0FED">
        <w:rPr>
          <w:rFonts w:ascii="Times New Roman" w:hAnsi="Times New Roman" w:cs="Times New Roman"/>
          <w:sz w:val="24"/>
          <w:szCs w:val="24"/>
        </w:rPr>
        <w:t>;</w:t>
      </w:r>
    </w:p>
    <w:p w14:paraId="1512B1A4" w14:textId="1163A6E6" w:rsidR="002E1B8A" w:rsidRDefault="00DF7C7A" w:rsidP="00C961E0">
      <w:pPr>
        <w:pStyle w:val="ListParagraph"/>
        <w:numPr>
          <w:ilvl w:val="1"/>
          <w:numId w:val="1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83E8E">
        <w:rPr>
          <w:rFonts w:ascii="Times New Roman" w:hAnsi="Times New Roman" w:cs="Times New Roman"/>
          <w:sz w:val="24"/>
          <w:szCs w:val="24"/>
        </w:rPr>
        <w:t>ntervalul orar din ziua de livrare</w:t>
      </w:r>
      <w:r w:rsidR="00AA0FED">
        <w:rPr>
          <w:rFonts w:ascii="Times New Roman" w:hAnsi="Times New Roman" w:cs="Times New Roman"/>
          <w:sz w:val="24"/>
          <w:szCs w:val="24"/>
        </w:rPr>
        <w:t>;</w:t>
      </w:r>
    </w:p>
    <w:p w14:paraId="0B30A2DB" w14:textId="37D439BF" w:rsidR="00DE7273" w:rsidRPr="002202F9" w:rsidRDefault="00DE7273" w:rsidP="00C961E0">
      <w:pPr>
        <w:pStyle w:val="ListParagraph"/>
        <w:numPr>
          <w:ilvl w:val="1"/>
          <w:numId w:val="1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sensul tranzac</w:t>
      </w:r>
      <w:r w:rsidR="00DF7C7A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iilor pe interval de livrare, respectiv cump</w:t>
      </w:r>
      <w:r w:rsidR="00DF7C7A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>rare sau v</w:t>
      </w:r>
      <w:r w:rsidR="00DF7C7A">
        <w:rPr>
          <w:rFonts w:ascii="Times New Roman" w:hAnsi="Times New Roman" w:cs="Times New Roman"/>
          <w:sz w:val="24"/>
          <w:szCs w:val="24"/>
        </w:rPr>
        <w:t>â</w:t>
      </w:r>
      <w:r>
        <w:rPr>
          <w:rFonts w:ascii="Times New Roman" w:hAnsi="Times New Roman" w:cs="Times New Roman"/>
          <w:sz w:val="24"/>
          <w:szCs w:val="24"/>
        </w:rPr>
        <w:t>nzare</w:t>
      </w:r>
      <w:r w:rsidR="00DF7C7A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3210A" w14:textId="3140BE2C" w:rsidR="00262150" w:rsidRPr="002202F9" w:rsidRDefault="00262150" w:rsidP="00C961E0">
      <w:pPr>
        <w:pStyle w:val="ListParagraph"/>
        <w:numPr>
          <w:ilvl w:val="1"/>
          <w:numId w:val="1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cantit</w:t>
      </w:r>
      <w:r w:rsidR="001F0018" w:rsidRPr="002202F9">
        <w:rPr>
          <w:rFonts w:ascii="Times New Roman" w:hAnsi="Times New Roman" w:cs="Times New Roman"/>
          <w:sz w:val="24"/>
          <w:szCs w:val="24"/>
        </w:rPr>
        <w:t>atea</w:t>
      </w:r>
      <w:r w:rsidRPr="002202F9">
        <w:rPr>
          <w:rFonts w:ascii="Times New Roman" w:hAnsi="Times New Roman" w:cs="Times New Roman"/>
          <w:sz w:val="24"/>
          <w:szCs w:val="24"/>
        </w:rPr>
        <w:t xml:space="preserve"> de energie electrică </w:t>
      </w:r>
      <w:r w:rsidR="002E1B8A" w:rsidRPr="002202F9">
        <w:rPr>
          <w:rFonts w:ascii="Times New Roman" w:hAnsi="Times New Roman" w:cs="Times New Roman"/>
          <w:sz w:val="24"/>
          <w:szCs w:val="24"/>
        </w:rPr>
        <w:t>tranzac</w:t>
      </w:r>
      <w:r w:rsidR="00AA0FED">
        <w:rPr>
          <w:rFonts w:ascii="Times New Roman" w:hAnsi="Times New Roman" w:cs="Times New Roman"/>
          <w:sz w:val="24"/>
          <w:szCs w:val="24"/>
        </w:rPr>
        <w:t>ţ</w:t>
      </w:r>
      <w:r w:rsidR="002E1B8A" w:rsidRPr="002202F9">
        <w:rPr>
          <w:rFonts w:ascii="Times New Roman" w:hAnsi="Times New Roman" w:cs="Times New Roman"/>
          <w:sz w:val="24"/>
          <w:szCs w:val="24"/>
        </w:rPr>
        <w:t>ionat</w:t>
      </w:r>
      <w:r w:rsidR="00AA0FED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, </w:t>
      </w:r>
      <w:r w:rsidR="00AA0FED">
        <w:rPr>
          <w:rFonts w:ascii="Times New Roman" w:hAnsi="Times New Roman" w:cs="Times New Roman"/>
          <w:sz w:val="24"/>
          <w:szCs w:val="24"/>
        </w:rPr>
        <w:t>atât</w:t>
      </w:r>
      <w:r w:rsidR="00523B15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2E1B8A" w:rsidRPr="002202F9">
        <w:rPr>
          <w:rFonts w:ascii="Times New Roman" w:hAnsi="Times New Roman" w:cs="Times New Roman"/>
          <w:sz w:val="24"/>
          <w:szCs w:val="24"/>
        </w:rPr>
        <w:t xml:space="preserve">pentru sensul de </w:t>
      </w:r>
      <w:r w:rsidRPr="002202F9">
        <w:rPr>
          <w:rFonts w:ascii="Times New Roman" w:hAnsi="Times New Roman" w:cs="Times New Roman"/>
          <w:sz w:val="24"/>
          <w:szCs w:val="24"/>
        </w:rPr>
        <w:t xml:space="preserve">cumpărare </w:t>
      </w:r>
      <w:r w:rsidR="00AA0FED">
        <w:rPr>
          <w:rFonts w:ascii="Times New Roman" w:hAnsi="Times New Roman" w:cs="Times New Roman"/>
          <w:sz w:val="24"/>
          <w:szCs w:val="24"/>
        </w:rPr>
        <w:t>cât ş</w:t>
      </w:r>
      <w:r w:rsidR="002E1B8A" w:rsidRPr="002202F9">
        <w:rPr>
          <w:rFonts w:ascii="Times New Roman" w:hAnsi="Times New Roman" w:cs="Times New Roman"/>
          <w:sz w:val="24"/>
          <w:szCs w:val="24"/>
        </w:rPr>
        <w:t xml:space="preserve">i </w:t>
      </w:r>
      <w:r w:rsidR="00AA0FED">
        <w:rPr>
          <w:rFonts w:ascii="Times New Roman" w:hAnsi="Times New Roman" w:cs="Times New Roman"/>
          <w:sz w:val="24"/>
          <w:szCs w:val="24"/>
        </w:rPr>
        <w:t xml:space="preserve">pentru </w:t>
      </w:r>
      <w:r w:rsidR="002E1B8A" w:rsidRPr="002202F9">
        <w:rPr>
          <w:rFonts w:ascii="Times New Roman" w:hAnsi="Times New Roman" w:cs="Times New Roman"/>
          <w:sz w:val="24"/>
          <w:szCs w:val="24"/>
        </w:rPr>
        <w:t xml:space="preserve">vânzare </w:t>
      </w:r>
      <w:r w:rsidR="00AA0FED">
        <w:rPr>
          <w:rFonts w:ascii="Times New Roman" w:hAnsi="Times New Roman" w:cs="Times New Roman"/>
          <w:sz w:val="24"/>
          <w:szCs w:val="24"/>
        </w:rPr>
        <w:t>î</w:t>
      </w:r>
      <w:r w:rsidR="002E1B8A" w:rsidRPr="002202F9">
        <w:rPr>
          <w:rFonts w:ascii="Times New Roman" w:hAnsi="Times New Roman" w:cs="Times New Roman"/>
          <w:sz w:val="24"/>
          <w:szCs w:val="24"/>
        </w:rPr>
        <w:t xml:space="preserve">n MWh, </w:t>
      </w:r>
      <w:r w:rsidR="00FA478D" w:rsidRPr="002202F9">
        <w:rPr>
          <w:rFonts w:ascii="Times New Roman" w:hAnsi="Times New Roman" w:cs="Times New Roman"/>
          <w:sz w:val="24"/>
          <w:szCs w:val="24"/>
        </w:rPr>
        <w:t>exprimat</w:t>
      </w:r>
      <w:r w:rsidR="00AA0FED">
        <w:rPr>
          <w:rFonts w:ascii="Times New Roman" w:hAnsi="Times New Roman" w:cs="Times New Roman"/>
          <w:sz w:val="24"/>
          <w:szCs w:val="24"/>
        </w:rPr>
        <w:t>ă</w:t>
      </w:r>
      <w:r w:rsidR="00FA478D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2E1B8A" w:rsidRPr="002202F9">
        <w:rPr>
          <w:rFonts w:ascii="Times New Roman" w:hAnsi="Times New Roman" w:cs="Times New Roman"/>
          <w:sz w:val="24"/>
          <w:szCs w:val="24"/>
        </w:rPr>
        <w:t>cu 1 zecimal</w:t>
      </w:r>
      <w:r w:rsidR="00AA0FED">
        <w:rPr>
          <w:rFonts w:ascii="Times New Roman" w:hAnsi="Times New Roman" w:cs="Times New Roman"/>
          <w:sz w:val="24"/>
          <w:szCs w:val="24"/>
        </w:rPr>
        <w:t>ă;</w:t>
      </w:r>
    </w:p>
    <w:p w14:paraId="5EF97189" w14:textId="28F14D76" w:rsidR="00262150" w:rsidRPr="002202F9" w:rsidRDefault="00483E8E" w:rsidP="00C961E0">
      <w:pPr>
        <w:pStyle w:val="ListParagraph"/>
        <w:numPr>
          <w:ilvl w:val="1"/>
          <w:numId w:val="1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pretul de </w:t>
      </w:r>
      <w:r w:rsidR="00DF7C7A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>nchidere al pie</w:t>
      </w:r>
      <w:r w:rsidR="00DF7C7A">
        <w:rPr>
          <w:rFonts w:ascii="Times New Roman" w:hAnsi="Times New Roman" w:cs="Times New Roman"/>
          <w:sz w:val="24"/>
          <w:szCs w:val="24"/>
        </w:rPr>
        <w:t>ț</w:t>
      </w:r>
      <w:r>
        <w:rPr>
          <w:rFonts w:ascii="Times New Roman" w:hAnsi="Times New Roman" w:cs="Times New Roman"/>
          <w:sz w:val="24"/>
          <w:szCs w:val="24"/>
        </w:rPr>
        <w:t>ei pentru fiecare interval de livrare</w:t>
      </w:r>
      <w:r w:rsidR="002E1B8A" w:rsidRPr="002202F9">
        <w:rPr>
          <w:rFonts w:ascii="Times New Roman" w:hAnsi="Times New Roman" w:cs="Times New Roman"/>
          <w:sz w:val="24"/>
          <w:szCs w:val="24"/>
        </w:rPr>
        <w:t xml:space="preserve">, </w:t>
      </w:r>
      <w:r w:rsidR="00FA478D" w:rsidRPr="002202F9">
        <w:rPr>
          <w:rFonts w:ascii="Times New Roman" w:hAnsi="Times New Roman" w:cs="Times New Roman"/>
          <w:sz w:val="24"/>
          <w:szCs w:val="24"/>
        </w:rPr>
        <w:t xml:space="preserve">exprimat </w:t>
      </w:r>
      <w:r w:rsidR="00F126D3" w:rsidRPr="002202F9">
        <w:rPr>
          <w:rFonts w:ascii="Times New Roman" w:hAnsi="Times New Roman" w:cs="Times New Roman"/>
          <w:sz w:val="24"/>
          <w:szCs w:val="24"/>
        </w:rPr>
        <w:t>cu 2 zecimale</w:t>
      </w:r>
      <w:r w:rsidR="00AA0FED">
        <w:rPr>
          <w:rFonts w:ascii="Times New Roman" w:hAnsi="Times New Roman" w:cs="Times New Roman"/>
          <w:sz w:val="24"/>
          <w:szCs w:val="24"/>
        </w:rPr>
        <w:t>;</w:t>
      </w:r>
    </w:p>
    <w:p w14:paraId="02760E05" w14:textId="25B84E2A" w:rsidR="00C62F97" w:rsidRPr="002202F9" w:rsidRDefault="00262150" w:rsidP="00C961E0">
      <w:pPr>
        <w:pStyle w:val="ListParagraph"/>
        <w:numPr>
          <w:ilvl w:val="1"/>
          <w:numId w:val="1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valoarea tranzacții</w:t>
      </w:r>
      <w:r w:rsidR="00483E8E">
        <w:rPr>
          <w:rFonts w:ascii="Times New Roman" w:hAnsi="Times New Roman" w:cs="Times New Roman"/>
          <w:sz w:val="24"/>
          <w:szCs w:val="24"/>
        </w:rPr>
        <w:t>lor pe interval de livrare</w:t>
      </w:r>
      <w:r w:rsidR="00DF7C7A">
        <w:rPr>
          <w:rFonts w:ascii="Times New Roman" w:hAnsi="Times New Roman" w:cs="Times New Roman"/>
          <w:sz w:val="24"/>
          <w:szCs w:val="24"/>
        </w:rPr>
        <w:t xml:space="preserve"> </w:t>
      </w:r>
      <w:r w:rsidRPr="002202F9">
        <w:rPr>
          <w:rFonts w:ascii="Times New Roman" w:hAnsi="Times New Roman" w:cs="Times New Roman"/>
          <w:sz w:val="24"/>
          <w:szCs w:val="24"/>
        </w:rPr>
        <w:t>realizate</w:t>
      </w:r>
      <w:r w:rsidR="00DF7C7A">
        <w:rPr>
          <w:rFonts w:ascii="Times New Roman" w:hAnsi="Times New Roman" w:cs="Times New Roman"/>
          <w:sz w:val="24"/>
          <w:szCs w:val="24"/>
        </w:rPr>
        <w:t>,</w:t>
      </w:r>
      <w:r w:rsidR="00C62F97" w:rsidRPr="002202F9">
        <w:rPr>
          <w:rFonts w:ascii="Times New Roman" w:hAnsi="Times New Roman" w:cs="Times New Roman"/>
          <w:sz w:val="24"/>
          <w:szCs w:val="24"/>
        </w:rPr>
        <w:t xml:space="preserve"> f</w:t>
      </w:r>
      <w:r w:rsidR="00AA0FED">
        <w:rPr>
          <w:rFonts w:ascii="Times New Roman" w:hAnsi="Times New Roman" w:cs="Times New Roman"/>
          <w:sz w:val="24"/>
          <w:szCs w:val="24"/>
        </w:rPr>
        <w:t>ă</w:t>
      </w:r>
      <w:r w:rsidR="00C62F97" w:rsidRPr="002202F9">
        <w:rPr>
          <w:rFonts w:ascii="Times New Roman" w:hAnsi="Times New Roman" w:cs="Times New Roman"/>
          <w:sz w:val="24"/>
          <w:szCs w:val="24"/>
        </w:rPr>
        <w:t>r</w:t>
      </w:r>
      <w:r w:rsidR="00AA0FED">
        <w:rPr>
          <w:rFonts w:ascii="Times New Roman" w:hAnsi="Times New Roman" w:cs="Times New Roman"/>
          <w:sz w:val="24"/>
          <w:szCs w:val="24"/>
        </w:rPr>
        <w:t>ă</w:t>
      </w:r>
      <w:r w:rsidR="00C62F97" w:rsidRPr="002202F9">
        <w:rPr>
          <w:rFonts w:ascii="Times New Roman" w:hAnsi="Times New Roman" w:cs="Times New Roman"/>
          <w:sz w:val="24"/>
          <w:szCs w:val="24"/>
        </w:rPr>
        <w:t xml:space="preserve"> TVA</w:t>
      </w:r>
      <w:r w:rsidRPr="002202F9">
        <w:rPr>
          <w:rFonts w:ascii="Times New Roman" w:hAnsi="Times New Roman" w:cs="Times New Roman"/>
          <w:sz w:val="24"/>
          <w:szCs w:val="24"/>
        </w:rPr>
        <w:t xml:space="preserve">, </w:t>
      </w:r>
      <w:r w:rsidR="00C62F97" w:rsidRPr="002202F9">
        <w:rPr>
          <w:rFonts w:ascii="Times New Roman" w:hAnsi="Times New Roman" w:cs="Times New Roman"/>
          <w:sz w:val="24"/>
          <w:szCs w:val="24"/>
        </w:rPr>
        <w:t>exprimat</w:t>
      </w:r>
      <w:r w:rsidR="00AA0FED">
        <w:rPr>
          <w:rFonts w:ascii="Times New Roman" w:hAnsi="Times New Roman" w:cs="Times New Roman"/>
          <w:sz w:val="24"/>
          <w:szCs w:val="24"/>
        </w:rPr>
        <w:t>ă</w:t>
      </w:r>
      <w:r w:rsidR="00C62F97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F126D3" w:rsidRPr="002202F9">
        <w:rPr>
          <w:rFonts w:ascii="Times New Roman" w:hAnsi="Times New Roman" w:cs="Times New Roman"/>
          <w:sz w:val="24"/>
          <w:szCs w:val="24"/>
        </w:rPr>
        <w:t>cu 2 zecimale</w:t>
      </w:r>
      <w:r w:rsidR="00AA0FED">
        <w:rPr>
          <w:rFonts w:ascii="Times New Roman" w:hAnsi="Times New Roman" w:cs="Times New Roman"/>
          <w:sz w:val="24"/>
          <w:szCs w:val="24"/>
        </w:rPr>
        <w:t>;</w:t>
      </w:r>
      <w:r w:rsidR="00F126D3" w:rsidRPr="00220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BDAF31" w14:textId="282A92A3" w:rsidR="00C62F97" w:rsidRPr="002202F9" w:rsidRDefault="00262150" w:rsidP="00C961E0">
      <w:pPr>
        <w:pStyle w:val="ListParagraph"/>
        <w:numPr>
          <w:ilvl w:val="1"/>
          <w:numId w:val="1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valoarea TVA</w:t>
      </w:r>
      <w:r w:rsidR="00C62F97" w:rsidRPr="002202F9">
        <w:rPr>
          <w:rFonts w:ascii="Times New Roman" w:hAnsi="Times New Roman" w:cs="Times New Roman"/>
          <w:sz w:val="24"/>
          <w:szCs w:val="24"/>
        </w:rPr>
        <w:t xml:space="preserve"> pentru situa</w:t>
      </w:r>
      <w:r w:rsidR="00027D94">
        <w:rPr>
          <w:rFonts w:ascii="Times New Roman" w:hAnsi="Times New Roman" w:cs="Times New Roman"/>
          <w:sz w:val="24"/>
          <w:szCs w:val="24"/>
        </w:rPr>
        <w:t>ţ</w:t>
      </w:r>
      <w:r w:rsidR="00C62F97" w:rsidRPr="002202F9">
        <w:rPr>
          <w:rFonts w:ascii="Times New Roman" w:hAnsi="Times New Roman" w:cs="Times New Roman"/>
          <w:sz w:val="24"/>
          <w:szCs w:val="24"/>
        </w:rPr>
        <w:t>iile aplicabile</w:t>
      </w:r>
      <w:r w:rsidRPr="002202F9">
        <w:rPr>
          <w:rFonts w:ascii="Times New Roman" w:hAnsi="Times New Roman" w:cs="Times New Roman"/>
          <w:sz w:val="24"/>
          <w:szCs w:val="24"/>
        </w:rPr>
        <w:t xml:space="preserve">, pentru </w:t>
      </w:r>
      <w:r w:rsidR="00DE7273">
        <w:rPr>
          <w:rFonts w:ascii="Times New Roman" w:hAnsi="Times New Roman" w:cs="Times New Roman"/>
          <w:sz w:val="24"/>
          <w:szCs w:val="24"/>
        </w:rPr>
        <w:t>fiecare interval de livrare</w:t>
      </w:r>
      <w:r w:rsidRPr="002202F9">
        <w:rPr>
          <w:rFonts w:ascii="Times New Roman" w:hAnsi="Times New Roman" w:cs="Times New Roman"/>
          <w:sz w:val="24"/>
          <w:szCs w:val="24"/>
        </w:rPr>
        <w:t>,</w:t>
      </w:r>
      <w:r w:rsidR="00C62F97" w:rsidRPr="002202F9">
        <w:rPr>
          <w:rFonts w:ascii="Times New Roman" w:hAnsi="Times New Roman" w:cs="Times New Roman"/>
          <w:sz w:val="24"/>
          <w:szCs w:val="24"/>
        </w:rPr>
        <w:t xml:space="preserve"> exprimat</w:t>
      </w:r>
      <w:r w:rsidR="00027D94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F126D3" w:rsidRPr="002202F9">
        <w:rPr>
          <w:rFonts w:ascii="Times New Roman" w:hAnsi="Times New Roman" w:cs="Times New Roman"/>
          <w:sz w:val="24"/>
          <w:szCs w:val="24"/>
        </w:rPr>
        <w:t>cu 2 zecimale</w:t>
      </w:r>
      <w:r w:rsidR="00AA0FED">
        <w:rPr>
          <w:rFonts w:ascii="Times New Roman" w:hAnsi="Times New Roman" w:cs="Times New Roman"/>
          <w:sz w:val="24"/>
          <w:szCs w:val="24"/>
        </w:rPr>
        <w:t>;</w:t>
      </w:r>
    </w:p>
    <w:p w14:paraId="07AC1B1D" w14:textId="77B0093B" w:rsidR="00C62F97" w:rsidRPr="002202F9" w:rsidRDefault="00262150" w:rsidP="00C961E0">
      <w:pPr>
        <w:pStyle w:val="ListParagraph"/>
        <w:numPr>
          <w:ilvl w:val="1"/>
          <w:numId w:val="1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valoarea totală a </w:t>
      </w:r>
      <w:r w:rsidR="00DE7273">
        <w:rPr>
          <w:rFonts w:ascii="Times New Roman" w:hAnsi="Times New Roman" w:cs="Times New Roman"/>
          <w:sz w:val="24"/>
          <w:szCs w:val="24"/>
        </w:rPr>
        <w:t>fiecare interval de livrare</w:t>
      </w:r>
      <w:r w:rsidRPr="002202F9">
        <w:rPr>
          <w:rFonts w:ascii="Times New Roman" w:hAnsi="Times New Roman" w:cs="Times New Roman"/>
          <w:sz w:val="24"/>
          <w:szCs w:val="24"/>
        </w:rPr>
        <w:t xml:space="preserve">, calculată ca sumă a </w:t>
      </w:r>
      <w:r w:rsidR="00C62F97" w:rsidRPr="002202F9">
        <w:rPr>
          <w:rFonts w:ascii="Times New Roman" w:hAnsi="Times New Roman" w:cs="Times New Roman"/>
          <w:sz w:val="24"/>
          <w:szCs w:val="24"/>
        </w:rPr>
        <w:t xml:space="preserve">punctelor </w:t>
      </w:r>
      <w:r w:rsidR="00DE7273">
        <w:rPr>
          <w:rFonts w:ascii="Times New Roman" w:hAnsi="Times New Roman" w:cs="Times New Roman"/>
          <w:sz w:val="24"/>
          <w:szCs w:val="24"/>
        </w:rPr>
        <w:t>f</w:t>
      </w:r>
      <w:r w:rsidR="00C62F97" w:rsidRPr="002202F9">
        <w:rPr>
          <w:rFonts w:ascii="Times New Roman" w:hAnsi="Times New Roman" w:cs="Times New Roman"/>
          <w:sz w:val="24"/>
          <w:szCs w:val="24"/>
        </w:rPr>
        <w:t xml:space="preserve">) </w:t>
      </w:r>
      <w:r w:rsidR="00D52A12">
        <w:rPr>
          <w:rFonts w:ascii="Times New Roman" w:hAnsi="Times New Roman" w:cs="Times New Roman"/>
          <w:sz w:val="24"/>
          <w:szCs w:val="24"/>
        </w:rPr>
        <w:t>ș</w:t>
      </w:r>
      <w:r w:rsidR="00C62F97" w:rsidRPr="002202F9">
        <w:rPr>
          <w:rFonts w:ascii="Times New Roman" w:hAnsi="Times New Roman" w:cs="Times New Roman"/>
          <w:sz w:val="24"/>
          <w:szCs w:val="24"/>
        </w:rPr>
        <w:t xml:space="preserve">i </w:t>
      </w:r>
      <w:r w:rsidR="00DE7273">
        <w:rPr>
          <w:rFonts w:ascii="Times New Roman" w:hAnsi="Times New Roman" w:cs="Times New Roman"/>
          <w:sz w:val="24"/>
          <w:szCs w:val="24"/>
        </w:rPr>
        <w:t>g</w:t>
      </w:r>
      <w:r w:rsidR="00C62F97" w:rsidRPr="002202F9">
        <w:rPr>
          <w:rFonts w:ascii="Times New Roman" w:hAnsi="Times New Roman" w:cs="Times New Roman"/>
          <w:sz w:val="24"/>
          <w:szCs w:val="24"/>
        </w:rPr>
        <w:t>) de mai sus, exprimat</w:t>
      </w:r>
      <w:r w:rsidR="00027D94">
        <w:rPr>
          <w:rFonts w:ascii="Times New Roman" w:hAnsi="Times New Roman" w:cs="Times New Roman"/>
          <w:sz w:val="24"/>
          <w:szCs w:val="24"/>
        </w:rPr>
        <w:t>ă</w:t>
      </w:r>
      <w:r w:rsidR="00C62F97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0C6A70" w:rsidRPr="002202F9">
        <w:rPr>
          <w:rFonts w:ascii="Times New Roman" w:hAnsi="Times New Roman" w:cs="Times New Roman"/>
          <w:sz w:val="24"/>
          <w:szCs w:val="24"/>
        </w:rPr>
        <w:t xml:space="preserve">cu </w:t>
      </w:r>
      <w:r w:rsidRPr="002202F9">
        <w:rPr>
          <w:rFonts w:ascii="Times New Roman" w:hAnsi="Times New Roman" w:cs="Times New Roman"/>
          <w:sz w:val="24"/>
          <w:szCs w:val="24"/>
        </w:rPr>
        <w:t>2 zecimale</w:t>
      </w:r>
      <w:r w:rsidR="00AA0FED">
        <w:rPr>
          <w:rFonts w:ascii="Times New Roman" w:hAnsi="Times New Roman" w:cs="Times New Roman"/>
          <w:sz w:val="24"/>
          <w:szCs w:val="24"/>
        </w:rPr>
        <w:t>;</w:t>
      </w:r>
    </w:p>
    <w:p w14:paraId="2401EA16" w14:textId="2BDA6A8C" w:rsidR="00262150" w:rsidRPr="002202F9" w:rsidRDefault="00CA1455" w:rsidP="00C961E0">
      <w:pPr>
        <w:pStyle w:val="ListParagraph"/>
        <w:numPr>
          <w:ilvl w:val="1"/>
          <w:numId w:val="18"/>
        </w:numPr>
        <w:tabs>
          <w:tab w:val="left" w:pos="270"/>
        </w:tabs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sumarul </w:t>
      </w:r>
      <w:r w:rsidR="00262150" w:rsidRPr="002202F9">
        <w:rPr>
          <w:rFonts w:ascii="Times New Roman" w:hAnsi="Times New Roman" w:cs="Times New Roman"/>
          <w:sz w:val="24"/>
          <w:szCs w:val="24"/>
        </w:rPr>
        <w:t>cantit</w:t>
      </w:r>
      <w:r w:rsidR="00027D94">
        <w:rPr>
          <w:rFonts w:ascii="Times New Roman" w:hAnsi="Times New Roman" w:cs="Times New Roman"/>
          <w:sz w:val="24"/>
          <w:szCs w:val="24"/>
        </w:rPr>
        <w:t>ăţ</w:t>
      </w:r>
      <w:r w:rsidRPr="002202F9">
        <w:rPr>
          <w:rFonts w:ascii="Times New Roman" w:hAnsi="Times New Roman" w:cs="Times New Roman"/>
          <w:sz w:val="24"/>
          <w:szCs w:val="24"/>
        </w:rPr>
        <w:t>ii</w:t>
      </w:r>
      <w:r w:rsidR="00262150" w:rsidRPr="002202F9">
        <w:rPr>
          <w:rFonts w:ascii="Times New Roman" w:hAnsi="Times New Roman" w:cs="Times New Roman"/>
          <w:sz w:val="24"/>
          <w:szCs w:val="24"/>
        </w:rPr>
        <w:t xml:space="preserve"> tranzacționat</w:t>
      </w:r>
      <w:r w:rsidRPr="002202F9">
        <w:rPr>
          <w:rFonts w:ascii="Times New Roman" w:hAnsi="Times New Roman" w:cs="Times New Roman"/>
          <w:sz w:val="24"/>
          <w:szCs w:val="24"/>
        </w:rPr>
        <w:t>e cumulate la nivelul zilei de livrare</w:t>
      </w:r>
      <w:r w:rsidR="00262150" w:rsidRPr="002202F9">
        <w:rPr>
          <w:rFonts w:ascii="Times New Roman" w:hAnsi="Times New Roman" w:cs="Times New Roman"/>
          <w:sz w:val="24"/>
          <w:szCs w:val="24"/>
        </w:rPr>
        <w:t>,</w:t>
      </w:r>
      <w:r w:rsidRPr="002202F9">
        <w:rPr>
          <w:rFonts w:ascii="Times New Roman" w:hAnsi="Times New Roman" w:cs="Times New Roman"/>
          <w:sz w:val="24"/>
          <w:szCs w:val="24"/>
        </w:rPr>
        <w:t xml:space="preserve"> separat pe sensul de cump</w:t>
      </w:r>
      <w:r w:rsidR="00027D94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rare </w:t>
      </w:r>
      <w:r w:rsidR="00027D94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v</w:t>
      </w:r>
      <w:r w:rsidR="00027D94">
        <w:rPr>
          <w:rFonts w:ascii="Times New Roman" w:hAnsi="Times New Roman" w:cs="Times New Roman"/>
          <w:sz w:val="24"/>
          <w:szCs w:val="24"/>
        </w:rPr>
        <w:t>â</w:t>
      </w:r>
      <w:r w:rsidRPr="002202F9">
        <w:rPr>
          <w:rFonts w:ascii="Times New Roman" w:hAnsi="Times New Roman" w:cs="Times New Roman"/>
          <w:sz w:val="24"/>
          <w:szCs w:val="24"/>
        </w:rPr>
        <w:t xml:space="preserve">nzare </w:t>
      </w:r>
      <w:r w:rsidR="00027D94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defalcat pe tranzac</w:t>
      </w:r>
      <w:r w:rsidR="00027D94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ii la pre</w:t>
      </w:r>
      <w:r w:rsidR="00027D94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 pozitiv/negativ, cantitatea net</w:t>
      </w:r>
      <w:r w:rsidR="00027D94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, </w:t>
      </w:r>
      <w:r w:rsidR="00262150" w:rsidRPr="002202F9">
        <w:rPr>
          <w:rFonts w:ascii="Times New Roman" w:hAnsi="Times New Roman" w:cs="Times New Roman"/>
          <w:sz w:val="24"/>
          <w:szCs w:val="24"/>
        </w:rPr>
        <w:t>în MWh</w:t>
      </w:r>
      <w:r w:rsidRPr="002202F9">
        <w:rPr>
          <w:rFonts w:ascii="Times New Roman" w:hAnsi="Times New Roman" w:cs="Times New Roman"/>
          <w:sz w:val="24"/>
          <w:szCs w:val="24"/>
        </w:rPr>
        <w:t xml:space="preserve"> cu o zecimal</w:t>
      </w:r>
      <w:r w:rsidR="00027D94">
        <w:rPr>
          <w:rFonts w:ascii="Times New Roman" w:hAnsi="Times New Roman" w:cs="Times New Roman"/>
          <w:sz w:val="24"/>
          <w:szCs w:val="24"/>
        </w:rPr>
        <w:t>ă</w:t>
      </w:r>
      <w:r w:rsidR="00CB6154">
        <w:rPr>
          <w:rFonts w:ascii="Times New Roman" w:hAnsi="Times New Roman" w:cs="Times New Roman"/>
          <w:sz w:val="24"/>
          <w:szCs w:val="24"/>
        </w:rPr>
        <w:t xml:space="preserve">, precum </w:t>
      </w:r>
      <w:r w:rsidR="00DF7C7A">
        <w:rPr>
          <w:rFonts w:ascii="Times New Roman" w:hAnsi="Times New Roman" w:cs="Times New Roman"/>
          <w:sz w:val="24"/>
          <w:szCs w:val="24"/>
        </w:rPr>
        <w:t>ș</w:t>
      </w:r>
      <w:r w:rsidR="00CB6154">
        <w:rPr>
          <w:rFonts w:ascii="Times New Roman" w:hAnsi="Times New Roman" w:cs="Times New Roman"/>
          <w:sz w:val="24"/>
          <w:szCs w:val="24"/>
        </w:rPr>
        <w:t>i pre</w:t>
      </w:r>
      <w:r w:rsidR="00DF7C7A">
        <w:rPr>
          <w:rFonts w:ascii="Times New Roman" w:hAnsi="Times New Roman" w:cs="Times New Roman"/>
          <w:sz w:val="24"/>
          <w:szCs w:val="24"/>
        </w:rPr>
        <w:t>ț</w:t>
      </w:r>
      <w:r w:rsidR="00CB6154">
        <w:rPr>
          <w:rFonts w:ascii="Times New Roman" w:hAnsi="Times New Roman" w:cs="Times New Roman"/>
          <w:sz w:val="24"/>
          <w:szCs w:val="24"/>
        </w:rPr>
        <w:t>ul mediu ponderat pe cump</w:t>
      </w:r>
      <w:r w:rsidR="00DF7C7A">
        <w:rPr>
          <w:rFonts w:ascii="Times New Roman" w:hAnsi="Times New Roman" w:cs="Times New Roman"/>
          <w:sz w:val="24"/>
          <w:szCs w:val="24"/>
        </w:rPr>
        <w:t>ă</w:t>
      </w:r>
      <w:r w:rsidR="00CB6154">
        <w:rPr>
          <w:rFonts w:ascii="Times New Roman" w:hAnsi="Times New Roman" w:cs="Times New Roman"/>
          <w:sz w:val="24"/>
          <w:szCs w:val="24"/>
        </w:rPr>
        <w:t>rare/v</w:t>
      </w:r>
      <w:r w:rsidR="00DF7C7A">
        <w:rPr>
          <w:rFonts w:ascii="Times New Roman" w:hAnsi="Times New Roman" w:cs="Times New Roman"/>
          <w:sz w:val="24"/>
          <w:szCs w:val="24"/>
        </w:rPr>
        <w:t>â</w:t>
      </w:r>
      <w:r w:rsidR="00CB6154">
        <w:rPr>
          <w:rFonts w:ascii="Times New Roman" w:hAnsi="Times New Roman" w:cs="Times New Roman"/>
          <w:sz w:val="24"/>
          <w:szCs w:val="24"/>
        </w:rPr>
        <w:t>nzare la nivel de zi de livrare</w:t>
      </w:r>
      <w:r w:rsidR="00027D94">
        <w:rPr>
          <w:rFonts w:ascii="Times New Roman" w:hAnsi="Times New Roman" w:cs="Times New Roman"/>
          <w:sz w:val="24"/>
          <w:szCs w:val="24"/>
        </w:rPr>
        <w:t>;</w:t>
      </w:r>
    </w:p>
    <w:p w14:paraId="5B9BFF8D" w14:textId="70506B7A" w:rsidR="000C6A70" w:rsidRPr="002202F9" w:rsidRDefault="00CA1455" w:rsidP="00C961E0">
      <w:pPr>
        <w:pStyle w:val="ListParagraph"/>
        <w:numPr>
          <w:ilvl w:val="1"/>
          <w:numId w:val="18"/>
        </w:numPr>
        <w:tabs>
          <w:tab w:val="left" w:pos="270"/>
        </w:tabs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sumarul valorii tranzacționate cumulate la nivelul zilei de livrare, separat pe sensul de cump</w:t>
      </w:r>
      <w:r w:rsidR="00625420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rare </w:t>
      </w:r>
      <w:r w:rsidR="00625420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 xml:space="preserve">i </w:t>
      </w:r>
      <w:r w:rsidR="00625420" w:rsidRPr="002202F9">
        <w:rPr>
          <w:rFonts w:ascii="Times New Roman" w:hAnsi="Times New Roman" w:cs="Times New Roman"/>
          <w:sz w:val="24"/>
          <w:szCs w:val="24"/>
        </w:rPr>
        <w:t>v</w:t>
      </w:r>
      <w:r w:rsidR="00625420">
        <w:rPr>
          <w:rFonts w:ascii="Times New Roman" w:hAnsi="Times New Roman" w:cs="Times New Roman"/>
          <w:sz w:val="24"/>
          <w:szCs w:val="24"/>
        </w:rPr>
        <w:t>â</w:t>
      </w:r>
      <w:r w:rsidR="00625420" w:rsidRPr="002202F9">
        <w:rPr>
          <w:rFonts w:ascii="Times New Roman" w:hAnsi="Times New Roman" w:cs="Times New Roman"/>
          <w:sz w:val="24"/>
          <w:szCs w:val="24"/>
        </w:rPr>
        <w:t xml:space="preserve">nzare </w:t>
      </w:r>
      <w:r w:rsidR="00625420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defalcat pe tranzac</w:t>
      </w:r>
      <w:r w:rsidR="00625420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ii la pre</w:t>
      </w:r>
      <w:r w:rsidR="00625420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 pozitiv/negativ, cat </w:t>
      </w:r>
      <w:r w:rsidR="00D52A12">
        <w:rPr>
          <w:rFonts w:ascii="Times New Roman" w:hAnsi="Times New Roman" w:cs="Times New Roman"/>
          <w:sz w:val="24"/>
          <w:szCs w:val="24"/>
        </w:rPr>
        <w:t>ș</w:t>
      </w:r>
      <w:r w:rsidRPr="002202F9">
        <w:rPr>
          <w:rFonts w:ascii="Times New Roman" w:hAnsi="Times New Roman" w:cs="Times New Roman"/>
          <w:sz w:val="24"/>
          <w:szCs w:val="24"/>
        </w:rPr>
        <w:t>i TVA, aplicabil dup</w:t>
      </w:r>
      <w:r w:rsidR="00D52A12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caz, precum valoarea net</w:t>
      </w:r>
      <w:r w:rsidR="00D52A12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de decontat, cu 2 zecimale.</w:t>
      </w:r>
    </w:p>
    <w:bookmarkEnd w:id="23"/>
    <w:p w14:paraId="203B8217" w14:textId="233DAD2F" w:rsidR="000C6A70" w:rsidRPr="002202F9" w:rsidRDefault="00BC66D7" w:rsidP="00C961E0">
      <w:pPr>
        <w:pStyle w:val="ListParagraph"/>
        <w:numPr>
          <w:ilvl w:val="0"/>
          <w:numId w:val="18"/>
        </w:numPr>
        <w:tabs>
          <w:tab w:val="left" w:pos="630"/>
          <w:tab w:val="left" w:pos="720"/>
          <w:tab w:val="left" w:pos="900"/>
        </w:tabs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Î</w:t>
      </w:r>
      <w:r w:rsidR="000C6A70" w:rsidRPr="002202F9">
        <w:rPr>
          <w:rFonts w:ascii="Times New Roman" w:hAnsi="Times New Roman" w:cs="Times New Roman"/>
          <w:sz w:val="24"/>
          <w:szCs w:val="24"/>
        </w:rPr>
        <w:t>n cadrul NZD, cantitatea v</w:t>
      </w:r>
      <w:r>
        <w:rPr>
          <w:rFonts w:ascii="Times New Roman" w:hAnsi="Times New Roman" w:cs="Times New Roman"/>
          <w:sz w:val="24"/>
          <w:szCs w:val="24"/>
        </w:rPr>
        <w:t>â</w:t>
      </w:r>
      <w:r w:rsidR="000C6A70" w:rsidRPr="002202F9">
        <w:rPr>
          <w:rFonts w:ascii="Times New Roman" w:hAnsi="Times New Roman" w:cs="Times New Roman"/>
          <w:sz w:val="24"/>
          <w:szCs w:val="24"/>
        </w:rPr>
        <w:t>ndut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0C6A70" w:rsidRPr="002202F9">
        <w:rPr>
          <w:rFonts w:ascii="Times New Roman" w:hAnsi="Times New Roman" w:cs="Times New Roman"/>
          <w:sz w:val="24"/>
          <w:szCs w:val="24"/>
        </w:rPr>
        <w:t xml:space="preserve"> este reprezentat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0C6A70" w:rsidRPr="002202F9">
        <w:rPr>
          <w:rFonts w:ascii="Times New Roman" w:hAnsi="Times New Roman" w:cs="Times New Roman"/>
          <w:sz w:val="24"/>
          <w:szCs w:val="24"/>
        </w:rPr>
        <w:t xml:space="preserve"> cu semnul plus (+), respectiv cantitatea cump</w:t>
      </w:r>
      <w:r w:rsidR="00625420">
        <w:rPr>
          <w:rFonts w:ascii="Times New Roman" w:hAnsi="Times New Roman" w:cs="Times New Roman"/>
          <w:sz w:val="24"/>
          <w:szCs w:val="24"/>
        </w:rPr>
        <w:t>ă</w:t>
      </w:r>
      <w:r w:rsidR="000C6A70" w:rsidRPr="002202F9">
        <w:rPr>
          <w:rFonts w:ascii="Times New Roman" w:hAnsi="Times New Roman" w:cs="Times New Roman"/>
          <w:sz w:val="24"/>
          <w:szCs w:val="24"/>
        </w:rPr>
        <w:t>rat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0C6A70" w:rsidRPr="002202F9">
        <w:rPr>
          <w:rFonts w:ascii="Times New Roman" w:hAnsi="Times New Roman" w:cs="Times New Roman"/>
          <w:sz w:val="24"/>
          <w:szCs w:val="24"/>
        </w:rPr>
        <w:t xml:space="preserve"> este reprezentat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0C6A70" w:rsidRPr="002202F9">
        <w:rPr>
          <w:rFonts w:ascii="Times New Roman" w:hAnsi="Times New Roman" w:cs="Times New Roman"/>
          <w:sz w:val="24"/>
          <w:szCs w:val="24"/>
        </w:rPr>
        <w:t xml:space="preserve"> cu semnul minus (-). </w:t>
      </w:r>
    </w:p>
    <w:p w14:paraId="7884E90D" w14:textId="6112EC5B" w:rsidR="000C6A70" w:rsidRPr="00C961E0" w:rsidRDefault="00BC66D7" w:rsidP="00C961E0">
      <w:pPr>
        <w:pStyle w:val="ListParagraph"/>
        <w:numPr>
          <w:ilvl w:val="0"/>
          <w:numId w:val="18"/>
        </w:numPr>
        <w:tabs>
          <w:tab w:val="left" w:pos="630"/>
          <w:tab w:val="left" w:pos="720"/>
          <w:tab w:val="left" w:pos="900"/>
        </w:tabs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0C6A70" w:rsidRPr="00C961E0">
        <w:rPr>
          <w:rFonts w:ascii="Times New Roman" w:hAnsi="Times New Roman" w:cs="Times New Roman"/>
          <w:sz w:val="24"/>
          <w:szCs w:val="24"/>
        </w:rPr>
        <w:t>n cadrul NZD, valorile pozitive reprezint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0C6A70" w:rsidRPr="00C961E0">
        <w:rPr>
          <w:rFonts w:ascii="Times New Roman" w:hAnsi="Times New Roman" w:cs="Times New Roman"/>
          <w:sz w:val="24"/>
          <w:szCs w:val="24"/>
        </w:rPr>
        <w:t xml:space="preserve"> obliga</w:t>
      </w:r>
      <w:r>
        <w:rPr>
          <w:rFonts w:ascii="Times New Roman" w:hAnsi="Times New Roman" w:cs="Times New Roman"/>
          <w:sz w:val="24"/>
          <w:szCs w:val="24"/>
        </w:rPr>
        <w:t>ţ</w:t>
      </w:r>
      <w:r w:rsidR="000C6A70" w:rsidRPr="00C961E0">
        <w:rPr>
          <w:rFonts w:ascii="Times New Roman" w:hAnsi="Times New Roman" w:cs="Times New Roman"/>
          <w:sz w:val="24"/>
          <w:szCs w:val="24"/>
        </w:rPr>
        <w:t>ii de plat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0C6A70" w:rsidRPr="00C961E0">
        <w:rPr>
          <w:rFonts w:ascii="Times New Roman" w:hAnsi="Times New Roman" w:cs="Times New Roman"/>
          <w:sz w:val="24"/>
          <w:szCs w:val="24"/>
        </w:rPr>
        <w:t xml:space="preserve"> ale CCP c</w:t>
      </w:r>
      <w:r>
        <w:rPr>
          <w:rFonts w:ascii="Times New Roman" w:hAnsi="Times New Roman" w:cs="Times New Roman"/>
          <w:sz w:val="24"/>
          <w:szCs w:val="24"/>
        </w:rPr>
        <w:t>ă</w:t>
      </w:r>
      <w:r w:rsidR="000C6A70" w:rsidRPr="00C961E0">
        <w:rPr>
          <w:rFonts w:ascii="Times New Roman" w:hAnsi="Times New Roman" w:cs="Times New Roman"/>
          <w:sz w:val="24"/>
          <w:szCs w:val="24"/>
        </w:rPr>
        <w:t>tre participant iar valorile negative reprezint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0C6A70" w:rsidRPr="00C961E0">
        <w:rPr>
          <w:rFonts w:ascii="Times New Roman" w:hAnsi="Times New Roman" w:cs="Times New Roman"/>
          <w:sz w:val="24"/>
          <w:szCs w:val="24"/>
        </w:rPr>
        <w:t xml:space="preserve"> obliga</w:t>
      </w:r>
      <w:r>
        <w:rPr>
          <w:rFonts w:ascii="Times New Roman" w:hAnsi="Times New Roman" w:cs="Times New Roman"/>
          <w:sz w:val="24"/>
          <w:szCs w:val="24"/>
        </w:rPr>
        <w:t>ţ</w:t>
      </w:r>
      <w:r w:rsidR="000C6A70" w:rsidRPr="00C961E0">
        <w:rPr>
          <w:rFonts w:ascii="Times New Roman" w:hAnsi="Times New Roman" w:cs="Times New Roman"/>
          <w:sz w:val="24"/>
          <w:szCs w:val="24"/>
        </w:rPr>
        <w:t>ii de plat</w:t>
      </w:r>
      <w:r>
        <w:rPr>
          <w:rFonts w:ascii="Times New Roman" w:hAnsi="Times New Roman" w:cs="Times New Roman"/>
          <w:sz w:val="24"/>
          <w:szCs w:val="24"/>
        </w:rPr>
        <w:t>ă</w:t>
      </w:r>
      <w:r w:rsidR="000C6A70" w:rsidRPr="00C961E0">
        <w:rPr>
          <w:rFonts w:ascii="Times New Roman" w:hAnsi="Times New Roman" w:cs="Times New Roman"/>
          <w:sz w:val="24"/>
          <w:szCs w:val="24"/>
        </w:rPr>
        <w:t xml:space="preserve"> ale participant</w:t>
      </w:r>
      <w:r w:rsidR="00DC4249" w:rsidRPr="00C961E0">
        <w:rPr>
          <w:rFonts w:ascii="Times New Roman" w:hAnsi="Times New Roman" w:cs="Times New Roman"/>
          <w:sz w:val="24"/>
          <w:szCs w:val="24"/>
        </w:rPr>
        <w:t>ului c</w:t>
      </w:r>
      <w:r>
        <w:rPr>
          <w:rFonts w:ascii="Times New Roman" w:hAnsi="Times New Roman" w:cs="Times New Roman"/>
          <w:sz w:val="24"/>
          <w:szCs w:val="24"/>
        </w:rPr>
        <w:t>ă</w:t>
      </w:r>
      <w:r w:rsidR="00DC4249" w:rsidRPr="00C961E0">
        <w:rPr>
          <w:rFonts w:ascii="Times New Roman" w:hAnsi="Times New Roman" w:cs="Times New Roman"/>
          <w:sz w:val="24"/>
          <w:szCs w:val="24"/>
        </w:rPr>
        <w:t>tre CCP.</w:t>
      </w:r>
    </w:p>
    <w:p w14:paraId="455BA36C" w14:textId="218D790B" w:rsidR="00DC4249" w:rsidRPr="002202F9" w:rsidRDefault="0064057B" w:rsidP="00C961E0">
      <w:pPr>
        <w:pStyle w:val="ListParagraph"/>
        <w:numPr>
          <w:ilvl w:val="0"/>
          <w:numId w:val="18"/>
        </w:numPr>
        <w:tabs>
          <w:tab w:val="left" w:pos="630"/>
          <w:tab w:val="left" w:pos="720"/>
          <w:tab w:val="left" w:pos="900"/>
        </w:tabs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NZD sunt centralizat</w:t>
      </w:r>
      <w:r w:rsidR="00793B44" w:rsidRPr="002202F9">
        <w:rPr>
          <w:rFonts w:ascii="Times New Roman" w:hAnsi="Times New Roman" w:cs="Times New Roman"/>
          <w:sz w:val="24"/>
          <w:szCs w:val="24"/>
        </w:rPr>
        <w:t>e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BC66D7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cadrul unei situa</w:t>
      </w:r>
      <w:r w:rsidR="00BC66D7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ii sintetice </w:t>
      </w:r>
      <w:r w:rsidR="00793B44" w:rsidRPr="002202F9">
        <w:rPr>
          <w:rFonts w:ascii="Times New Roman" w:hAnsi="Times New Roman" w:cs="Times New Roman"/>
          <w:sz w:val="24"/>
          <w:szCs w:val="24"/>
        </w:rPr>
        <w:t xml:space="preserve">actualizate </w:t>
      </w:r>
      <w:r w:rsidRPr="002202F9">
        <w:rPr>
          <w:rFonts w:ascii="Times New Roman" w:hAnsi="Times New Roman" w:cs="Times New Roman"/>
          <w:sz w:val="24"/>
          <w:szCs w:val="24"/>
        </w:rPr>
        <w:t>pe baza zilnic</w:t>
      </w:r>
      <w:r w:rsidR="00BC66D7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BC66D7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sunt puse la dispozi</w:t>
      </w:r>
      <w:r w:rsidR="00BC66D7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ia participan</w:t>
      </w:r>
      <w:r w:rsidR="00BC66D7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ilor pentru fiecare lun</w:t>
      </w:r>
      <w:r w:rsidR="00BC66D7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de livrare, </w:t>
      </w:r>
      <w:r w:rsidR="00BC66D7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 xml:space="preserve">n format electronic editabil, cel putin </w:t>
      </w:r>
      <w:r w:rsidRPr="00BC66D7">
        <w:rPr>
          <w:rFonts w:ascii="Times New Roman" w:hAnsi="Times New Roman" w:cs="Times New Roman"/>
          <w:i/>
          <w:iCs/>
          <w:sz w:val="24"/>
          <w:szCs w:val="24"/>
        </w:rPr>
        <w:t>.xls</w:t>
      </w:r>
      <w:r w:rsidR="00BC66D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760E9B" w14:textId="7EC15838" w:rsidR="00793B44" w:rsidRPr="002202F9" w:rsidRDefault="00BC66D7" w:rsidP="00C961E0">
      <w:pPr>
        <w:pStyle w:val="ListParagraph"/>
        <w:numPr>
          <w:ilvl w:val="0"/>
          <w:numId w:val="18"/>
        </w:numPr>
        <w:tabs>
          <w:tab w:val="left" w:pos="630"/>
          <w:tab w:val="left" w:pos="720"/>
          <w:tab w:val="left" w:pos="990"/>
        </w:tabs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793B44" w:rsidRPr="002202F9">
        <w:rPr>
          <w:rFonts w:ascii="Times New Roman" w:hAnsi="Times New Roman" w:cs="Times New Roman"/>
          <w:sz w:val="24"/>
          <w:szCs w:val="24"/>
        </w:rPr>
        <w:t>n</w:t>
      </w:r>
      <w:r w:rsidR="00F126D3" w:rsidRPr="002202F9">
        <w:rPr>
          <w:rFonts w:ascii="Times New Roman" w:hAnsi="Times New Roman" w:cs="Times New Roman"/>
          <w:sz w:val="24"/>
          <w:szCs w:val="24"/>
        </w:rPr>
        <w:t xml:space="preserve"> baza </w:t>
      </w:r>
      <w:r w:rsidR="00793B44" w:rsidRPr="002202F9">
        <w:rPr>
          <w:rFonts w:ascii="Times New Roman" w:hAnsi="Times New Roman" w:cs="Times New Roman"/>
          <w:sz w:val="24"/>
          <w:szCs w:val="24"/>
        </w:rPr>
        <w:t>calcula</w:t>
      </w:r>
      <w:r>
        <w:rPr>
          <w:rFonts w:ascii="Times New Roman" w:hAnsi="Times New Roman" w:cs="Times New Roman"/>
          <w:sz w:val="24"/>
          <w:szCs w:val="24"/>
        </w:rPr>
        <w:t>ţ</w:t>
      </w:r>
      <w:r w:rsidR="00793B44" w:rsidRPr="002202F9">
        <w:rPr>
          <w:rFonts w:ascii="Times New Roman" w:hAnsi="Times New Roman" w:cs="Times New Roman"/>
          <w:sz w:val="24"/>
          <w:szCs w:val="24"/>
        </w:rPr>
        <w:t xml:space="preserve">iilor </w:t>
      </w:r>
      <w:r w:rsidR="00F126D3" w:rsidRPr="002202F9">
        <w:rPr>
          <w:rFonts w:ascii="Times New Roman" w:hAnsi="Times New Roman" w:cs="Times New Roman"/>
          <w:sz w:val="24"/>
          <w:szCs w:val="24"/>
        </w:rPr>
        <w:t xml:space="preserve">din </w:t>
      </w:r>
      <w:r w:rsidR="00793B44" w:rsidRPr="002202F9">
        <w:rPr>
          <w:rFonts w:ascii="Times New Roman" w:hAnsi="Times New Roman" w:cs="Times New Roman"/>
          <w:sz w:val="24"/>
          <w:szCs w:val="24"/>
        </w:rPr>
        <w:t>NZD se efectueaz</w:t>
      </w:r>
      <w:r>
        <w:rPr>
          <w:rFonts w:ascii="Times New Roman" w:hAnsi="Times New Roman" w:cs="Times New Roman"/>
          <w:sz w:val="24"/>
          <w:szCs w:val="24"/>
        </w:rPr>
        <w:t>ă</w:t>
      </w:r>
      <w:r w:rsidR="00793B44" w:rsidRPr="002202F9">
        <w:rPr>
          <w:rFonts w:ascii="Times New Roman" w:hAnsi="Times New Roman" w:cs="Times New Roman"/>
          <w:sz w:val="24"/>
          <w:szCs w:val="24"/>
        </w:rPr>
        <w:t xml:space="preserve"> decontarea pe baza valorii nete rezultate, astfel:</w:t>
      </w:r>
    </w:p>
    <w:p w14:paraId="55AF1C3E" w14:textId="7E0235FA" w:rsidR="00793B44" w:rsidRPr="002202F9" w:rsidRDefault="00F126D3" w:rsidP="00C961E0">
      <w:pPr>
        <w:pStyle w:val="ListParagraph"/>
        <w:numPr>
          <w:ilvl w:val="0"/>
          <w:numId w:val="37"/>
        </w:numPr>
        <w:tabs>
          <w:tab w:val="left" w:pos="720"/>
        </w:tabs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Hlk162360455"/>
      <w:r w:rsidRPr="002202F9">
        <w:rPr>
          <w:rFonts w:ascii="Times New Roman" w:hAnsi="Times New Roman" w:cs="Times New Roman"/>
          <w:sz w:val="24"/>
          <w:szCs w:val="24"/>
        </w:rPr>
        <w:t>Pentru</w:t>
      </w:r>
      <w:r w:rsidR="009D3846" w:rsidRPr="002202F9">
        <w:rPr>
          <w:rFonts w:ascii="Times New Roman" w:hAnsi="Times New Roman" w:cs="Times New Roman"/>
          <w:sz w:val="24"/>
          <w:szCs w:val="24"/>
        </w:rPr>
        <w:t xml:space="preserve"> valoare</w:t>
      </w:r>
      <w:r w:rsidR="00793B44" w:rsidRPr="002202F9">
        <w:rPr>
          <w:rFonts w:ascii="Times New Roman" w:hAnsi="Times New Roman" w:cs="Times New Roman"/>
          <w:sz w:val="24"/>
          <w:szCs w:val="24"/>
        </w:rPr>
        <w:t>a</w:t>
      </w:r>
      <w:r w:rsidR="009D3846" w:rsidRPr="002202F9">
        <w:rPr>
          <w:rFonts w:ascii="Times New Roman" w:hAnsi="Times New Roman" w:cs="Times New Roman"/>
          <w:sz w:val="24"/>
          <w:szCs w:val="24"/>
        </w:rPr>
        <w:t xml:space="preserve"> netă </w:t>
      </w:r>
      <w:bookmarkEnd w:id="24"/>
      <w:r w:rsidR="009D3846" w:rsidRPr="002202F9">
        <w:rPr>
          <w:rFonts w:ascii="Times New Roman" w:hAnsi="Times New Roman" w:cs="Times New Roman"/>
          <w:sz w:val="24"/>
          <w:szCs w:val="24"/>
        </w:rPr>
        <w:t>pozitivă (&gt;</w:t>
      </w:r>
      <w:r w:rsidRPr="002202F9">
        <w:rPr>
          <w:rFonts w:ascii="Times New Roman" w:hAnsi="Times New Roman" w:cs="Times New Roman"/>
          <w:sz w:val="24"/>
          <w:szCs w:val="24"/>
        </w:rPr>
        <w:t>0</w:t>
      </w:r>
      <w:r w:rsidR="009D3846" w:rsidRPr="002202F9">
        <w:rPr>
          <w:rFonts w:ascii="Times New Roman" w:hAnsi="Times New Roman" w:cs="Times New Roman"/>
          <w:sz w:val="24"/>
          <w:szCs w:val="24"/>
        </w:rPr>
        <w:t>),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9D3846" w:rsidRPr="002202F9">
        <w:rPr>
          <w:rFonts w:ascii="Times New Roman" w:hAnsi="Times New Roman" w:cs="Times New Roman"/>
          <w:sz w:val="24"/>
          <w:szCs w:val="24"/>
        </w:rPr>
        <w:t>p</w:t>
      </w:r>
      <w:r w:rsidRPr="002202F9">
        <w:rPr>
          <w:rFonts w:ascii="Times New Roman" w:hAnsi="Times New Roman" w:cs="Times New Roman"/>
          <w:sz w:val="24"/>
          <w:szCs w:val="24"/>
        </w:rPr>
        <w:t>articipantul la</w:t>
      </w:r>
      <w:r w:rsidR="006F6B82">
        <w:rPr>
          <w:rFonts w:ascii="Times New Roman" w:hAnsi="Times New Roman" w:cs="Times New Roman"/>
          <w:sz w:val="24"/>
          <w:szCs w:val="24"/>
        </w:rPr>
        <w:t xml:space="preserve"> </w:t>
      </w:r>
      <w:r w:rsidR="00DB1C1C">
        <w:rPr>
          <w:rFonts w:ascii="Times New Roman" w:hAnsi="Times New Roman" w:cs="Times New Roman"/>
          <w:sz w:val="24"/>
          <w:szCs w:val="24"/>
        </w:rPr>
        <w:t>PZU</w:t>
      </w:r>
      <w:r w:rsidRPr="002202F9">
        <w:rPr>
          <w:rFonts w:ascii="Times New Roman" w:hAnsi="Times New Roman" w:cs="Times New Roman"/>
          <w:sz w:val="24"/>
          <w:szCs w:val="24"/>
        </w:rPr>
        <w:t xml:space="preserve"> are drepturi nete de încasare,  iar </w:t>
      </w:r>
      <w:r w:rsidR="009D3846" w:rsidRPr="002202F9">
        <w:rPr>
          <w:rFonts w:ascii="Times New Roman" w:hAnsi="Times New Roman" w:cs="Times New Roman"/>
          <w:sz w:val="24"/>
          <w:szCs w:val="24"/>
        </w:rPr>
        <w:t>BRM</w:t>
      </w:r>
      <w:r w:rsidRPr="002202F9">
        <w:rPr>
          <w:rFonts w:ascii="Times New Roman" w:hAnsi="Times New Roman" w:cs="Times New Roman"/>
          <w:sz w:val="24"/>
          <w:szCs w:val="24"/>
        </w:rPr>
        <w:t xml:space="preserve"> emite </w:t>
      </w:r>
      <w:r w:rsidR="00FC5682" w:rsidRPr="002202F9">
        <w:rPr>
          <w:rFonts w:ascii="Times New Roman" w:hAnsi="Times New Roman" w:cs="Times New Roman"/>
          <w:sz w:val="24"/>
          <w:szCs w:val="24"/>
        </w:rPr>
        <w:t>instrucțiun</w:t>
      </w:r>
      <w:r w:rsidR="00793B44" w:rsidRPr="002202F9">
        <w:rPr>
          <w:rFonts w:ascii="Times New Roman" w:hAnsi="Times New Roman" w:cs="Times New Roman"/>
          <w:sz w:val="24"/>
          <w:szCs w:val="24"/>
        </w:rPr>
        <w:t>ea</w:t>
      </w:r>
      <w:r w:rsidR="009D3846" w:rsidRPr="002202F9">
        <w:rPr>
          <w:rFonts w:ascii="Times New Roman" w:hAnsi="Times New Roman" w:cs="Times New Roman"/>
          <w:sz w:val="24"/>
          <w:szCs w:val="24"/>
        </w:rPr>
        <w:t xml:space="preserve"> de plată</w:t>
      </w:r>
      <w:r w:rsidR="00BC66D7">
        <w:rPr>
          <w:rFonts w:ascii="Times New Roman" w:hAnsi="Times New Roman" w:cs="Times New Roman"/>
          <w:sz w:val="24"/>
          <w:szCs w:val="24"/>
        </w:rPr>
        <w:t>;</w:t>
      </w:r>
    </w:p>
    <w:p w14:paraId="2AC11940" w14:textId="35DDBA92" w:rsidR="001F0018" w:rsidRPr="002202F9" w:rsidRDefault="009D3846" w:rsidP="00C961E0">
      <w:pPr>
        <w:pStyle w:val="ListParagraph"/>
        <w:numPr>
          <w:ilvl w:val="0"/>
          <w:numId w:val="37"/>
        </w:numPr>
        <w:tabs>
          <w:tab w:val="left" w:pos="720"/>
        </w:tabs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Pentru valoare</w:t>
      </w:r>
      <w:r w:rsidR="00793B44" w:rsidRPr="002202F9">
        <w:rPr>
          <w:rFonts w:ascii="Times New Roman" w:hAnsi="Times New Roman" w:cs="Times New Roman"/>
          <w:sz w:val="24"/>
          <w:szCs w:val="24"/>
        </w:rPr>
        <w:t>a</w:t>
      </w:r>
      <w:r w:rsidRPr="002202F9">
        <w:rPr>
          <w:rFonts w:ascii="Times New Roman" w:hAnsi="Times New Roman" w:cs="Times New Roman"/>
          <w:sz w:val="24"/>
          <w:szCs w:val="24"/>
        </w:rPr>
        <w:t xml:space="preserve"> netă negativă (&lt;0) participantul la </w:t>
      </w:r>
      <w:r w:rsidR="0001085F">
        <w:rPr>
          <w:rFonts w:ascii="Times New Roman" w:hAnsi="Times New Roman" w:cs="Times New Roman"/>
          <w:sz w:val="24"/>
          <w:szCs w:val="24"/>
        </w:rPr>
        <w:t>PZU</w:t>
      </w:r>
      <w:r w:rsidRPr="002202F9">
        <w:rPr>
          <w:rFonts w:ascii="Times New Roman" w:hAnsi="Times New Roman" w:cs="Times New Roman"/>
          <w:sz w:val="24"/>
          <w:szCs w:val="24"/>
        </w:rPr>
        <w:t xml:space="preserve"> are obligații nete de plată, </w:t>
      </w:r>
      <w:r w:rsidR="00793B44" w:rsidRPr="002202F9">
        <w:rPr>
          <w:rFonts w:ascii="Times New Roman" w:hAnsi="Times New Roman" w:cs="Times New Roman"/>
          <w:sz w:val="24"/>
          <w:szCs w:val="24"/>
        </w:rPr>
        <w:t xml:space="preserve">iar </w:t>
      </w:r>
      <w:r w:rsidRPr="002202F9">
        <w:rPr>
          <w:rFonts w:ascii="Times New Roman" w:hAnsi="Times New Roman" w:cs="Times New Roman"/>
          <w:sz w:val="24"/>
          <w:szCs w:val="24"/>
        </w:rPr>
        <w:t>BRM emite instrucțiune de Direct Debit</w:t>
      </w:r>
      <w:r w:rsidR="00793B44" w:rsidRPr="002202F9">
        <w:rPr>
          <w:rFonts w:ascii="Times New Roman" w:hAnsi="Times New Roman" w:cs="Times New Roman"/>
          <w:sz w:val="24"/>
          <w:szCs w:val="24"/>
        </w:rPr>
        <w:t>.</w:t>
      </w:r>
    </w:p>
    <w:p w14:paraId="366939F2" w14:textId="1F6CEB75" w:rsidR="00FC5682" w:rsidRPr="002202F9" w:rsidRDefault="00A91509" w:rsidP="00C961E0">
      <w:pPr>
        <w:pStyle w:val="ListParagraph"/>
        <w:numPr>
          <w:ilvl w:val="0"/>
          <w:numId w:val="18"/>
        </w:numPr>
        <w:tabs>
          <w:tab w:val="left" w:pos="720"/>
        </w:tabs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Hlk162360100"/>
      <w:r w:rsidRPr="002202F9">
        <w:rPr>
          <w:rFonts w:ascii="Times New Roman" w:hAnsi="Times New Roman" w:cs="Times New Roman"/>
          <w:sz w:val="24"/>
          <w:szCs w:val="24"/>
        </w:rPr>
        <w:t>IDD</w:t>
      </w:r>
      <w:r w:rsidR="00FC5682" w:rsidRPr="002202F9">
        <w:rPr>
          <w:rFonts w:ascii="Times New Roman" w:hAnsi="Times New Roman" w:cs="Times New Roman"/>
          <w:sz w:val="24"/>
          <w:szCs w:val="24"/>
        </w:rPr>
        <w:t xml:space="preserve"> se transmit </w:t>
      </w:r>
      <w:r w:rsidR="003F0B67" w:rsidRPr="002202F9">
        <w:rPr>
          <w:rFonts w:ascii="Times New Roman" w:hAnsi="Times New Roman" w:cs="Times New Roman"/>
          <w:sz w:val="24"/>
          <w:szCs w:val="24"/>
        </w:rPr>
        <w:t xml:space="preserve">la Banca de cont central </w:t>
      </w:r>
      <w:r w:rsidR="00FC5682" w:rsidRPr="002202F9">
        <w:rPr>
          <w:rFonts w:ascii="Times New Roman" w:hAnsi="Times New Roman" w:cs="Times New Roman"/>
          <w:sz w:val="24"/>
          <w:szCs w:val="24"/>
        </w:rPr>
        <w:t xml:space="preserve">în </w:t>
      </w:r>
      <w:r w:rsidR="0001085F">
        <w:rPr>
          <w:rFonts w:ascii="Times New Roman" w:hAnsi="Times New Roman" w:cs="Times New Roman"/>
          <w:sz w:val="24"/>
          <w:szCs w:val="24"/>
        </w:rPr>
        <w:t>fiecare</w:t>
      </w:r>
      <w:r w:rsidR="0001085F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FC5682" w:rsidRPr="002202F9">
        <w:rPr>
          <w:rFonts w:ascii="Times New Roman" w:hAnsi="Times New Roman" w:cs="Times New Roman"/>
          <w:sz w:val="24"/>
          <w:szCs w:val="24"/>
        </w:rPr>
        <w:t>zi bancară lucrătoare</w:t>
      </w:r>
      <w:r w:rsidR="0001085F">
        <w:rPr>
          <w:rFonts w:ascii="Times New Roman" w:hAnsi="Times New Roman" w:cs="Times New Roman"/>
          <w:sz w:val="24"/>
          <w:szCs w:val="24"/>
        </w:rPr>
        <w:t xml:space="preserve"> până la ora 16</w:t>
      </w:r>
      <w:r w:rsidR="0001085F" w:rsidRPr="00A0156A">
        <w:rPr>
          <w:rFonts w:ascii="Times New Roman" w:hAnsi="Times New Roman" w:cs="Times New Roman"/>
          <w:sz w:val="24"/>
          <w:szCs w:val="24"/>
        </w:rPr>
        <w:t xml:space="preserve">:00 </w:t>
      </w:r>
      <w:r w:rsidR="0001085F">
        <w:rPr>
          <w:rFonts w:ascii="Times New Roman" w:hAnsi="Times New Roman" w:cs="Times New Roman"/>
          <w:sz w:val="24"/>
          <w:szCs w:val="24"/>
        </w:rPr>
        <w:t>pentru ziua de tranzacționare d</w:t>
      </w:r>
      <w:r w:rsidR="006F6B82">
        <w:rPr>
          <w:rFonts w:ascii="Times New Roman" w:hAnsi="Times New Roman" w:cs="Times New Roman"/>
          <w:sz w:val="24"/>
          <w:szCs w:val="24"/>
        </w:rPr>
        <w:t>ă</w:t>
      </w:r>
      <w:r w:rsidR="0001085F">
        <w:rPr>
          <w:rFonts w:ascii="Times New Roman" w:hAnsi="Times New Roman" w:cs="Times New Roman"/>
          <w:sz w:val="24"/>
          <w:szCs w:val="24"/>
        </w:rPr>
        <w:t>c</w:t>
      </w:r>
      <w:r w:rsidR="006F6B82">
        <w:rPr>
          <w:rFonts w:ascii="Times New Roman" w:hAnsi="Times New Roman" w:cs="Times New Roman"/>
          <w:sz w:val="24"/>
          <w:szCs w:val="24"/>
        </w:rPr>
        <w:t>ă</w:t>
      </w:r>
      <w:r w:rsidR="0001085F">
        <w:rPr>
          <w:rFonts w:ascii="Times New Roman" w:hAnsi="Times New Roman" w:cs="Times New Roman"/>
          <w:sz w:val="24"/>
          <w:szCs w:val="24"/>
        </w:rPr>
        <w:t xml:space="preserve"> coincide cu o zi bancar</w:t>
      </w:r>
      <w:r w:rsidR="006F6B82">
        <w:rPr>
          <w:rFonts w:ascii="Times New Roman" w:hAnsi="Times New Roman" w:cs="Times New Roman"/>
          <w:sz w:val="24"/>
          <w:szCs w:val="24"/>
        </w:rPr>
        <w:t>ă</w:t>
      </w:r>
      <w:r w:rsidR="0001085F">
        <w:rPr>
          <w:rFonts w:ascii="Times New Roman" w:hAnsi="Times New Roman" w:cs="Times New Roman"/>
          <w:sz w:val="24"/>
          <w:szCs w:val="24"/>
        </w:rPr>
        <w:t xml:space="preserve"> sau </w:t>
      </w:r>
      <w:r w:rsidR="006F6B82">
        <w:rPr>
          <w:rFonts w:ascii="Times New Roman" w:hAnsi="Times New Roman" w:cs="Times New Roman"/>
          <w:sz w:val="24"/>
          <w:szCs w:val="24"/>
        </w:rPr>
        <w:t>î</w:t>
      </w:r>
      <w:r w:rsidR="0001085F">
        <w:rPr>
          <w:rFonts w:ascii="Times New Roman" w:hAnsi="Times New Roman" w:cs="Times New Roman"/>
          <w:sz w:val="24"/>
          <w:szCs w:val="24"/>
        </w:rPr>
        <w:t>n ziua bancar</w:t>
      </w:r>
      <w:r w:rsidR="006F6B82">
        <w:rPr>
          <w:rFonts w:ascii="Times New Roman" w:hAnsi="Times New Roman" w:cs="Times New Roman"/>
          <w:sz w:val="24"/>
          <w:szCs w:val="24"/>
        </w:rPr>
        <w:t>ă</w:t>
      </w:r>
      <w:r w:rsidR="0001085F">
        <w:rPr>
          <w:rFonts w:ascii="Times New Roman" w:hAnsi="Times New Roman" w:cs="Times New Roman"/>
          <w:sz w:val="24"/>
          <w:szCs w:val="24"/>
        </w:rPr>
        <w:t xml:space="preserve"> imediat următoare până la ora 09</w:t>
      </w:r>
      <w:r w:rsidR="0001085F" w:rsidRPr="00A0156A">
        <w:rPr>
          <w:rFonts w:ascii="Times New Roman" w:hAnsi="Times New Roman" w:cs="Times New Roman"/>
          <w:sz w:val="24"/>
          <w:szCs w:val="24"/>
        </w:rPr>
        <w:t xml:space="preserve">:30 </w:t>
      </w:r>
      <w:r w:rsidR="0001085F">
        <w:rPr>
          <w:rFonts w:ascii="Times New Roman" w:hAnsi="Times New Roman" w:cs="Times New Roman"/>
          <w:sz w:val="24"/>
          <w:szCs w:val="24"/>
        </w:rPr>
        <w:t xml:space="preserve">pentru ziua/zilele de tranzacționare care nu sunt zile bancare. </w:t>
      </w:r>
      <w:r w:rsidR="006F6B82">
        <w:rPr>
          <w:rFonts w:ascii="Times New Roman" w:hAnsi="Times New Roman" w:cs="Times New Roman"/>
          <w:sz w:val="24"/>
          <w:szCs w:val="24"/>
        </w:rPr>
        <w:t>Î</w:t>
      </w:r>
      <w:r w:rsidR="0001085F">
        <w:rPr>
          <w:rFonts w:ascii="Times New Roman" w:hAnsi="Times New Roman" w:cs="Times New Roman"/>
          <w:sz w:val="24"/>
          <w:szCs w:val="24"/>
        </w:rPr>
        <w:t>n cazul unor situa</w:t>
      </w:r>
      <w:r w:rsidR="006F6B82">
        <w:rPr>
          <w:rFonts w:ascii="Times New Roman" w:hAnsi="Times New Roman" w:cs="Times New Roman"/>
          <w:sz w:val="24"/>
          <w:szCs w:val="24"/>
        </w:rPr>
        <w:t>ț</w:t>
      </w:r>
      <w:r w:rsidR="0001085F">
        <w:rPr>
          <w:rFonts w:ascii="Times New Roman" w:hAnsi="Times New Roman" w:cs="Times New Roman"/>
          <w:sz w:val="24"/>
          <w:szCs w:val="24"/>
        </w:rPr>
        <w:t xml:space="preserve">ii excepționale, </w:t>
      </w:r>
      <w:r w:rsidR="006F6B82">
        <w:rPr>
          <w:rFonts w:ascii="Times New Roman" w:hAnsi="Times New Roman" w:cs="Times New Roman"/>
          <w:sz w:val="24"/>
          <w:szCs w:val="24"/>
        </w:rPr>
        <w:t>î</w:t>
      </w:r>
      <w:r w:rsidR="0001085F">
        <w:rPr>
          <w:rFonts w:ascii="Times New Roman" w:hAnsi="Times New Roman" w:cs="Times New Roman"/>
          <w:sz w:val="24"/>
          <w:szCs w:val="24"/>
        </w:rPr>
        <w:t>n principal legate de programul de desfășurare a  licitației zilnice, IDD pentru o zi de tranzac</w:t>
      </w:r>
      <w:r w:rsidR="006F6B82">
        <w:rPr>
          <w:rFonts w:ascii="Times New Roman" w:hAnsi="Times New Roman" w:cs="Times New Roman"/>
          <w:sz w:val="24"/>
          <w:szCs w:val="24"/>
        </w:rPr>
        <w:t>ț</w:t>
      </w:r>
      <w:r w:rsidR="0001085F">
        <w:rPr>
          <w:rFonts w:ascii="Times New Roman" w:hAnsi="Times New Roman" w:cs="Times New Roman"/>
          <w:sz w:val="24"/>
          <w:szCs w:val="24"/>
        </w:rPr>
        <w:t xml:space="preserve">ionare se emite </w:t>
      </w:r>
      <w:r w:rsidR="006F6B82">
        <w:rPr>
          <w:rFonts w:ascii="Times New Roman" w:hAnsi="Times New Roman" w:cs="Times New Roman"/>
          <w:sz w:val="24"/>
          <w:szCs w:val="24"/>
        </w:rPr>
        <w:t>î</w:t>
      </w:r>
      <w:r w:rsidR="0001085F">
        <w:rPr>
          <w:rFonts w:ascii="Times New Roman" w:hAnsi="Times New Roman" w:cs="Times New Roman"/>
          <w:sz w:val="24"/>
          <w:szCs w:val="24"/>
        </w:rPr>
        <w:t xml:space="preserve">n cel mai scurt timp posibil </w:t>
      </w:r>
      <w:r w:rsidR="006F6B82">
        <w:rPr>
          <w:rFonts w:ascii="Times New Roman" w:hAnsi="Times New Roman" w:cs="Times New Roman"/>
          <w:sz w:val="24"/>
          <w:szCs w:val="24"/>
        </w:rPr>
        <w:t>î</w:t>
      </w:r>
      <w:r w:rsidR="0001085F">
        <w:rPr>
          <w:rFonts w:ascii="Times New Roman" w:hAnsi="Times New Roman" w:cs="Times New Roman"/>
          <w:sz w:val="24"/>
          <w:szCs w:val="24"/>
        </w:rPr>
        <w:t>n cadrul zilei bancare imediat urm</w:t>
      </w:r>
      <w:r w:rsidR="006F6B82">
        <w:rPr>
          <w:rFonts w:ascii="Times New Roman" w:hAnsi="Times New Roman" w:cs="Times New Roman"/>
          <w:sz w:val="24"/>
          <w:szCs w:val="24"/>
        </w:rPr>
        <w:t>ă</w:t>
      </w:r>
      <w:r w:rsidR="0001085F">
        <w:rPr>
          <w:rFonts w:ascii="Times New Roman" w:hAnsi="Times New Roman" w:cs="Times New Roman"/>
          <w:sz w:val="24"/>
          <w:szCs w:val="24"/>
        </w:rPr>
        <w:t>toare programului normal de tran</w:t>
      </w:r>
      <w:r w:rsidR="006F6B82">
        <w:rPr>
          <w:rFonts w:ascii="Times New Roman" w:hAnsi="Times New Roman" w:cs="Times New Roman"/>
          <w:sz w:val="24"/>
          <w:szCs w:val="24"/>
        </w:rPr>
        <w:t>s</w:t>
      </w:r>
      <w:r w:rsidR="0001085F">
        <w:rPr>
          <w:rFonts w:ascii="Times New Roman" w:hAnsi="Times New Roman" w:cs="Times New Roman"/>
          <w:sz w:val="24"/>
          <w:szCs w:val="24"/>
        </w:rPr>
        <w:t xml:space="preserve">mitere. </w:t>
      </w:r>
    </w:p>
    <w:p w14:paraId="6769D373" w14:textId="30919895" w:rsidR="00A91509" w:rsidRPr="00AF35CF" w:rsidRDefault="00A91509" w:rsidP="00C961E0">
      <w:pPr>
        <w:pStyle w:val="ListParagraph"/>
        <w:numPr>
          <w:ilvl w:val="0"/>
          <w:numId w:val="18"/>
        </w:numPr>
        <w:tabs>
          <w:tab w:val="left" w:pos="720"/>
        </w:tabs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AF35CF">
        <w:rPr>
          <w:rFonts w:ascii="Times New Roman" w:hAnsi="Times New Roman" w:cs="Times New Roman"/>
          <w:sz w:val="24"/>
          <w:szCs w:val="24"/>
        </w:rPr>
        <w:t>Instrucțiunile de plată emise de BRM se transmit c</w:t>
      </w:r>
      <w:r w:rsidR="00BC66D7" w:rsidRPr="00AF35CF">
        <w:rPr>
          <w:rFonts w:ascii="Times New Roman" w:hAnsi="Times New Roman" w:cs="Times New Roman"/>
          <w:sz w:val="24"/>
          <w:szCs w:val="24"/>
        </w:rPr>
        <w:t>ă</w:t>
      </w:r>
      <w:r w:rsidRPr="00AF35CF">
        <w:rPr>
          <w:rFonts w:ascii="Times New Roman" w:hAnsi="Times New Roman" w:cs="Times New Roman"/>
          <w:sz w:val="24"/>
          <w:szCs w:val="24"/>
        </w:rPr>
        <w:t>tre Banca de cont central cel t</w:t>
      </w:r>
      <w:r w:rsidR="00BC66D7" w:rsidRPr="00AF35CF">
        <w:rPr>
          <w:rFonts w:ascii="Times New Roman" w:hAnsi="Times New Roman" w:cs="Times New Roman"/>
          <w:sz w:val="24"/>
          <w:szCs w:val="24"/>
        </w:rPr>
        <w:t>â</w:t>
      </w:r>
      <w:r w:rsidRPr="00AF35CF">
        <w:rPr>
          <w:rFonts w:ascii="Times New Roman" w:hAnsi="Times New Roman" w:cs="Times New Roman"/>
          <w:sz w:val="24"/>
          <w:szCs w:val="24"/>
        </w:rPr>
        <w:t xml:space="preserve">rziu la </w:t>
      </w:r>
      <w:r w:rsidR="00C30742" w:rsidRPr="00AF35CF">
        <w:rPr>
          <w:rFonts w:ascii="Times New Roman" w:hAnsi="Times New Roman" w:cs="Times New Roman"/>
          <w:sz w:val="24"/>
          <w:szCs w:val="24"/>
        </w:rPr>
        <w:t>fnalul primei zile bancare urm</w:t>
      </w:r>
      <w:r w:rsidR="00D52A12">
        <w:rPr>
          <w:rFonts w:ascii="Times New Roman" w:hAnsi="Times New Roman" w:cs="Times New Roman"/>
          <w:sz w:val="24"/>
          <w:szCs w:val="24"/>
        </w:rPr>
        <w:t>ă</w:t>
      </w:r>
      <w:r w:rsidR="00C30742" w:rsidRPr="00AF35CF">
        <w:rPr>
          <w:rFonts w:ascii="Times New Roman" w:hAnsi="Times New Roman" w:cs="Times New Roman"/>
          <w:sz w:val="24"/>
          <w:szCs w:val="24"/>
        </w:rPr>
        <w:t xml:space="preserve">toare zilei de </w:t>
      </w:r>
      <w:r w:rsidR="00743C94">
        <w:rPr>
          <w:rFonts w:ascii="Times New Roman" w:hAnsi="Times New Roman" w:cs="Times New Roman"/>
          <w:sz w:val="24"/>
          <w:szCs w:val="24"/>
        </w:rPr>
        <w:t>tranzacționare</w:t>
      </w:r>
      <w:r w:rsidR="00D52A12">
        <w:rPr>
          <w:rFonts w:ascii="Times New Roman" w:hAnsi="Times New Roman" w:cs="Times New Roman"/>
          <w:sz w:val="24"/>
          <w:szCs w:val="24"/>
        </w:rPr>
        <w:t>.</w:t>
      </w:r>
    </w:p>
    <w:bookmarkEnd w:id="25"/>
    <w:p w14:paraId="4A71DCB4" w14:textId="10299FF2" w:rsidR="00F774FE" w:rsidRPr="00AF35CF" w:rsidRDefault="00C83F9B" w:rsidP="00C961E0">
      <w:pPr>
        <w:pStyle w:val="ListParagraph"/>
        <w:numPr>
          <w:ilvl w:val="0"/>
          <w:numId w:val="18"/>
        </w:numPr>
        <w:tabs>
          <w:tab w:val="left" w:pos="720"/>
        </w:tabs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AF35CF">
        <w:rPr>
          <w:rFonts w:ascii="Times New Roman" w:hAnsi="Times New Roman" w:cs="Times New Roman"/>
          <w:sz w:val="24"/>
          <w:szCs w:val="24"/>
        </w:rPr>
        <w:t>Respingerea in</w:t>
      </w:r>
      <w:r w:rsidR="00FC5682" w:rsidRPr="00AF35CF">
        <w:rPr>
          <w:rFonts w:ascii="Times New Roman" w:hAnsi="Times New Roman" w:cs="Times New Roman"/>
          <w:sz w:val="24"/>
          <w:szCs w:val="24"/>
        </w:rPr>
        <w:t>s</w:t>
      </w:r>
      <w:r w:rsidRPr="00AF35CF">
        <w:rPr>
          <w:rFonts w:ascii="Times New Roman" w:hAnsi="Times New Roman" w:cs="Times New Roman"/>
          <w:sz w:val="24"/>
          <w:szCs w:val="24"/>
        </w:rPr>
        <w:t>trucțiunii de debitare directă</w:t>
      </w:r>
      <w:r w:rsidR="004350AC" w:rsidRPr="00AF35CF">
        <w:rPr>
          <w:rFonts w:ascii="Times New Roman" w:hAnsi="Times New Roman" w:cs="Times New Roman"/>
          <w:sz w:val="24"/>
          <w:szCs w:val="24"/>
        </w:rPr>
        <w:t xml:space="preserve"> implic</w:t>
      </w:r>
      <w:r w:rsidR="006C213E" w:rsidRPr="00AF35CF">
        <w:rPr>
          <w:rFonts w:ascii="Times New Roman" w:hAnsi="Times New Roman" w:cs="Times New Roman"/>
          <w:sz w:val="24"/>
          <w:szCs w:val="24"/>
        </w:rPr>
        <w:t>ă</w:t>
      </w:r>
      <w:r w:rsidR="004350AC" w:rsidRPr="00AF35CF">
        <w:rPr>
          <w:rFonts w:ascii="Times New Roman" w:hAnsi="Times New Roman" w:cs="Times New Roman"/>
          <w:sz w:val="24"/>
          <w:szCs w:val="24"/>
        </w:rPr>
        <w:t xml:space="preserve"> executarea garan</w:t>
      </w:r>
      <w:r w:rsidR="006C213E" w:rsidRPr="00AF35CF">
        <w:rPr>
          <w:rFonts w:ascii="Times New Roman" w:hAnsi="Times New Roman" w:cs="Times New Roman"/>
          <w:sz w:val="24"/>
          <w:szCs w:val="24"/>
        </w:rPr>
        <w:t>ţ</w:t>
      </w:r>
      <w:r w:rsidR="004350AC" w:rsidRPr="00AF35CF">
        <w:rPr>
          <w:rFonts w:ascii="Times New Roman" w:hAnsi="Times New Roman" w:cs="Times New Roman"/>
          <w:sz w:val="24"/>
          <w:szCs w:val="24"/>
        </w:rPr>
        <w:t>iei di</w:t>
      </w:r>
      <w:r w:rsidR="006C213E" w:rsidRPr="00AF35CF">
        <w:rPr>
          <w:rFonts w:ascii="Times New Roman" w:hAnsi="Times New Roman" w:cs="Times New Roman"/>
          <w:sz w:val="24"/>
          <w:szCs w:val="24"/>
        </w:rPr>
        <w:t>s</w:t>
      </w:r>
      <w:r w:rsidR="004350AC" w:rsidRPr="00AF35CF">
        <w:rPr>
          <w:rFonts w:ascii="Times New Roman" w:hAnsi="Times New Roman" w:cs="Times New Roman"/>
          <w:sz w:val="24"/>
          <w:szCs w:val="24"/>
        </w:rPr>
        <w:t>ponibile.</w:t>
      </w:r>
    </w:p>
    <w:p w14:paraId="0B5BD61A" w14:textId="036DBF06" w:rsidR="00F774FE" w:rsidRPr="002202F9" w:rsidRDefault="00576855" w:rsidP="00C961E0">
      <w:pPr>
        <w:pStyle w:val="ListParagraph"/>
        <w:numPr>
          <w:ilvl w:val="0"/>
          <w:numId w:val="18"/>
        </w:numPr>
        <w:spacing w:line="360" w:lineRule="auto"/>
        <w:ind w:left="634" w:hanging="6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02F9">
        <w:rPr>
          <w:rFonts w:ascii="Times New Roman" w:hAnsi="Times New Roman" w:cs="Times New Roman"/>
          <w:b/>
          <w:bCs/>
          <w:sz w:val="24"/>
          <w:szCs w:val="24"/>
        </w:rPr>
        <w:t xml:space="preserve">Facturarea </w:t>
      </w:r>
    </w:p>
    <w:p w14:paraId="2E04AFA3" w14:textId="27E9BF69" w:rsidR="004350AC" w:rsidRPr="00C961E0" w:rsidRDefault="004350AC" w:rsidP="00C961E0">
      <w:pPr>
        <w:pStyle w:val="ListParagraph"/>
        <w:numPr>
          <w:ilvl w:val="1"/>
          <w:numId w:val="1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 w:rsidRPr="00C961E0">
        <w:rPr>
          <w:rFonts w:ascii="Times New Roman" w:hAnsi="Times New Roman" w:cs="Times New Roman"/>
          <w:sz w:val="24"/>
          <w:szCs w:val="24"/>
        </w:rPr>
        <w:t xml:space="preserve">BRM </w:t>
      </w:r>
      <w:r w:rsidR="00625420">
        <w:rPr>
          <w:rFonts w:ascii="Times New Roman" w:hAnsi="Times New Roman" w:cs="Times New Roman"/>
          <w:sz w:val="24"/>
          <w:szCs w:val="24"/>
        </w:rPr>
        <w:t>ş</w:t>
      </w:r>
      <w:r w:rsidRPr="00C961E0">
        <w:rPr>
          <w:rFonts w:ascii="Times New Roman" w:hAnsi="Times New Roman" w:cs="Times New Roman"/>
          <w:sz w:val="24"/>
          <w:szCs w:val="24"/>
        </w:rPr>
        <w:t xml:space="preserve">i </w:t>
      </w:r>
      <w:r w:rsidR="00F774FE" w:rsidRPr="00C961E0">
        <w:rPr>
          <w:rFonts w:ascii="Times New Roman" w:hAnsi="Times New Roman" w:cs="Times New Roman"/>
          <w:sz w:val="24"/>
          <w:szCs w:val="24"/>
        </w:rPr>
        <w:t xml:space="preserve">Participanții </w:t>
      </w:r>
      <w:r w:rsidR="00BF5CE2" w:rsidRPr="00C961E0">
        <w:rPr>
          <w:rFonts w:ascii="Times New Roman" w:hAnsi="Times New Roman" w:cs="Times New Roman"/>
          <w:sz w:val="24"/>
          <w:szCs w:val="24"/>
        </w:rPr>
        <w:t>emit</w:t>
      </w:r>
      <w:r w:rsidR="00F774FE" w:rsidRPr="00C961E0">
        <w:rPr>
          <w:rFonts w:ascii="Times New Roman" w:hAnsi="Times New Roman" w:cs="Times New Roman"/>
          <w:sz w:val="24"/>
          <w:szCs w:val="24"/>
        </w:rPr>
        <w:t xml:space="preserve"> </w:t>
      </w:r>
      <w:r w:rsidR="00F25208" w:rsidRPr="00C961E0">
        <w:rPr>
          <w:rFonts w:ascii="Times New Roman" w:hAnsi="Times New Roman" w:cs="Times New Roman"/>
          <w:sz w:val="24"/>
          <w:szCs w:val="24"/>
        </w:rPr>
        <w:t>factur</w:t>
      </w:r>
      <w:r w:rsidRPr="00C961E0">
        <w:rPr>
          <w:rFonts w:ascii="Times New Roman" w:hAnsi="Times New Roman" w:cs="Times New Roman"/>
          <w:sz w:val="24"/>
          <w:szCs w:val="24"/>
        </w:rPr>
        <w:t>a</w:t>
      </w:r>
      <w:r w:rsidR="00F25208" w:rsidRPr="00C961E0">
        <w:rPr>
          <w:rFonts w:ascii="Times New Roman" w:hAnsi="Times New Roman" w:cs="Times New Roman"/>
          <w:sz w:val="24"/>
          <w:szCs w:val="24"/>
        </w:rPr>
        <w:t xml:space="preserve"> </w:t>
      </w:r>
      <w:r w:rsidR="00F774FE" w:rsidRPr="00C961E0">
        <w:rPr>
          <w:rFonts w:ascii="Times New Roman" w:hAnsi="Times New Roman" w:cs="Times New Roman"/>
          <w:sz w:val="24"/>
          <w:szCs w:val="24"/>
        </w:rPr>
        <w:t>pentru energia electrică vândută</w:t>
      </w:r>
      <w:r w:rsidRPr="00C961E0">
        <w:rPr>
          <w:rFonts w:ascii="Times New Roman" w:hAnsi="Times New Roman" w:cs="Times New Roman"/>
          <w:sz w:val="24"/>
          <w:szCs w:val="24"/>
        </w:rPr>
        <w:t xml:space="preserve"> la pre</w:t>
      </w:r>
      <w:r w:rsidR="006C213E">
        <w:rPr>
          <w:rFonts w:ascii="Times New Roman" w:hAnsi="Times New Roman" w:cs="Times New Roman"/>
          <w:sz w:val="24"/>
          <w:szCs w:val="24"/>
        </w:rPr>
        <w:t>ţ</w:t>
      </w:r>
      <w:r w:rsidRPr="00C961E0">
        <w:rPr>
          <w:rFonts w:ascii="Times New Roman" w:hAnsi="Times New Roman" w:cs="Times New Roman"/>
          <w:sz w:val="24"/>
          <w:szCs w:val="24"/>
        </w:rPr>
        <w:t xml:space="preserve"> pozitiv</w:t>
      </w:r>
      <w:r w:rsidR="006C213E">
        <w:rPr>
          <w:rFonts w:ascii="Times New Roman" w:hAnsi="Times New Roman" w:cs="Times New Roman"/>
          <w:sz w:val="24"/>
          <w:szCs w:val="24"/>
        </w:rPr>
        <w:t>,</w:t>
      </w:r>
      <w:r w:rsidRPr="00C961E0">
        <w:rPr>
          <w:rFonts w:ascii="Times New Roman" w:hAnsi="Times New Roman" w:cs="Times New Roman"/>
          <w:sz w:val="24"/>
          <w:szCs w:val="24"/>
        </w:rPr>
        <w:t xml:space="preserve"> respectiv factura pentru </w:t>
      </w:r>
      <w:bookmarkStart w:id="26" w:name="_Hlk162363060"/>
      <w:r w:rsidR="00F25208" w:rsidRPr="00C961E0">
        <w:rPr>
          <w:rFonts w:ascii="Times New Roman" w:hAnsi="Times New Roman" w:cs="Times New Roman"/>
          <w:sz w:val="24"/>
          <w:szCs w:val="24"/>
        </w:rPr>
        <w:t>prest</w:t>
      </w:r>
      <w:r w:rsidRPr="00C961E0">
        <w:rPr>
          <w:rFonts w:ascii="Times New Roman" w:hAnsi="Times New Roman" w:cs="Times New Roman"/>
          <w:sz w:val="24"/>
          <w:szCs w:val="24"/>
        </w:rPr>
        <w:t>a</w:t>
      </w:r>
      <w:r w:rsidR="00F25208" w:rsidRPr="00C961E0">
        <w:rPr>
          <w:rFonts w:ascii="Times New Roman" w:hAnsi="Times New Roman" w:cs="Times New Roman"/>
          <w:sz w:val="24"/>
          <w:szCs w:val="24"/>
        </w:rPr>
        <w:t>r</w:t>
      </w:r>
      <w:r w:rsidRPr="00C961E0">
        <w:rPr>
          <w:rFonts w:ascii="Times New Roman" w:hAnsi="Times New Roman" w:cs="Times New Roman"/>
          <w:sz w:val="24"/>
          <w:szCs w:val="24"/>
        </w:rPr>
        <w:t>ea</w:t>
      </w:r>
      <w:r w:rsidR="00F25208" w:rsidRPr="00C961E0">
        <w:rPr>
          <w:rFonts w:ascii="Times New Roman" w:hAnsi="Times New Roman" w:cs="Times New Roman"/>
          <w:sz w:val="24"/>
          <w:szCs w:val="24"/>
        </w:rPr>
        <w:t xml:space="preserve"> </w:t>
      </w:r>
      <w:bookmarkStart w:id="27" w:name="_Hlk162363743"/>
      <w:r w:rsidR="00F25208" w:rsidRPr="00C961E0">
        <w:rPr>
          <w:rFonts w:ascii="Times New Roman" w:hAnsi="Times New Roman" w:cs="Times New Roman"/>
          <w:sz w:val="24"/>
          <w:szCs w:val="24"/>
        </w:rPr>
        <w:t>de servicii pentru energi</w:t>
      </w:r>
      <w:r w:rsidRPr="00C961E0">
        <w:rPr>
          <w:rFonts w:ascii="Times New Roman" w:hAnsi="Times New Roman" w:cs="Times New Roman"/>
          <w:sz w:val="24"/>
          <w:szCs w:val="24"/>
        </w:rPr>
        <w:t>a</w:t>
      </w:r>
      <w:r w:rsidR="00F25208" w:rsidRPr="00C961E0">
        <w:rPr>
          <w:rFonts w:ascii="Times New Roman" w:hAnsi="Times New Roman" w:cs="Times New Roman"/>
          <w:sz w:val="24"/>
          <w:szCs w:val="24"/>
        </w:rPr>
        <w:t xml:space="preserve"> electric</w:t>
      </w:r>
      <w:r w:rsidR="006C213E">
        <w:rPr>
          <w:rFonts w:ascii="Times New Roman" w:hAnsi="Times New Roman" w:cs="Times New Roman"/>
          <w:sz w:val="24"/>
          <w:szCs w:val="24"/>
        </w:rPr>
        <w:t>ă</w:t>
      </w:r>
      <w:r w:rsidRPr="00C961E0">
        <w:rPr>
          <w:rFonts w:ascii="Times New Roman" w:hAnsi="Times New Roman" w:cs="Times New Roman"/>
          <w:sz w:val="24"/>
          <w:szCs w:val="24"/>
        </w:rPr>
        <w:t xml:space="preserve"> cump</w:t>
      </w:r>
      <w:r w:rsidR="006C213E">
        <w:rPr>
          <w:rFonts w:ascii="Times New Roman" w:hAnsi="Times New Roman" w:cs="Times New Roman"/>
          <w:sz w:val="24"/>
          <w:szCs w:val="24"/>
        </w:rPr>
        <w:t>ă</w:t>
      </w:r>
      <w:r w:rsidRPr="00C961E0">
        <w:rPr>
          <w:rFonts w:ascii="Times New Roman" w:hAnsi="Times New Roman" w:cs="Times New Roman"/>
          <w:sz w:val="24"/>
          <w:szCs w:val="24"/>
        </w:rPr>
        <w:t>rat</w:t>
      </w:r>
      <w:r w:rsidR="006C213E">
        <w:rPr>
          <w:rFonts w:ascii="Times New Roman" w:hAnsi="Times New Roman" w:cs="Times New Roman"/>
          <w:sz w:val="24"/>
          <w:szCs w:val="24"/>
        </w:rPr>
        <w:t>ă</w:t>
      </w:r>
      <w:r w:rsidR="00F25208" w:rsidRPr="00C961E0">
        <w:rPr>
          <w:rFonts w:ascii="Times New Roman" w:hAnsi="Times New Roman" w:cs="Times New Roman"/>
          <w:sz w:val="24"/>
          <w:szCs w:val="24"/>
        </w:rPr>
        <w:t xml:space="preserve"> la preț negativ</w:t>
      </w:r>
      <w:r w:rsidRPr="00C961E0">
        <w:rPr>
          <w:rFonts w:ascii="Times New Roman" w:hAnsi="Times New Roman" w:cs="Times New Roman"/>
          <w:sz w:val="24"/>
          <w:szCs w:val="24"/>
        </w:rPr>
        <w:t>.</w:t>
      </w:r>
    </w:p>
    <w:p w14:paraId="191AB3A5" w14:textId="05D54FCD" w:rsidR="004350AC" w:rsidRPr="00C961E0" w:rsidRDefault="004350AC" w:rsidP="00C961E0">
      <w:pPr>
        <w:pStyle w:val="ListParagraph"/>
        <w:numPr>
          <w:ilvl w:val="1"/>
          <w:numId w:val="1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 w:rsidRPr="00C961E0">
        <w:rPr>
          <w:rFonts w:ascii="Times New Roman" w:hAnsi="Times New Roman" w:cs="Times New Roman"/>
          <w:sz w:val="24"/>
          <w:szCs w:val="24"/>
        </w:rPr>
        <w:t>Factura va con</w:t>
      </w:r>
      <w:r w:rsidR="006C213E">
        <w:rPr>
          <w:rFonts w:ascii="Times New Roman" w:hAnsi="Times New Roman" w:cs="Times New Roman"/>
          <w:sz w:val="24"/>
          <w:szCs w:val="24"/>
        </w:rPr>
        <w:t>ţ</w:t>
      </w:r>
      <w:r w:rsidRPr="00C961E0">
        <w:rPr>
          <w:rFonts w:ascii="Times New Roman" w:hAnsi="Times New Roman" w:cs="Times New Roman"/>
          <w:sz w:val="24"/>
          <w:szCs w:val="24"/>
        </w:rPr>
        <w:t>ine, dup</w:t>
      </w:r>
      <w:r w:rsidR="00D52A12">
        <w:rPr>
          <w:rFonts w:ascii="Times New Roman" w:hAnsi="Times New Roman" w:cs="Times New Roman"/>
          <w:sz w:val="24"/>
          <w:szCs w:val="24"/>
        </w:rPr>
        <w:t>ă</w:t>
      </w:r>
      <w:r w:rsidRPr="00C961E0">
        <w:rPr>
          <w:rFonts w:ascii="Times New Roman" w:hAnsi="Times New Roman" w:cs="Times New Roman"/>
          <w:sz w:val="24"/>
          <w:szCs w:val="24"/>
        </w:rPr>
        <w:t xml:space="preserve"> caz, TVA conform reglement</w:t>
      </w:r>
      <w:r w:rsidR="00F63917">
        <w:rPr>
          <w:rFonts w:ascii="Times New Roman" w:hAnsi="Times New Roman" w:cs="Times New Roman"/>
          <w:sz w:val="24"/>
          <w:szCs w:val="24"/>
        </w:rPr>
        <w:t>ă</w:t>
      </w:r>
      <w:r w:rsidRPr="00C961E0">
        <w:rPr>
          <w:rFonts w:ascii="Times New Roman" w:hAnsi="Times New Roman" w:cs="Times New Roman"/>
          <w:sz w:val="24"/>
          <w:szCs w:val="24"/>
        </w:rPr>
        <w:t xml:space="preserve">rilor fiscal contabile </w:t>
      </w:r>
      <w:r w:rsidR="006C213E">
        <w:rPr>
          <w:rFonts w:ascii="Times New Roman" w:hAnsi="Times New Roman" w:cs="Times New Roman"/>
          <w:sz w:val="24"/>
          <w:szCs w:val="24"/>
        </w:rPr>
        <w:t>î</w:t>
      </w:r>
      <w:r w:rsidRPr="00C961E0">
        <w:rPr>
          <w:rFonts w:ascii="Times New Roman" w:hAnsi="Times New Roman" w:cs="Times New Roman"/>
          <w:sz w:val="24"/>
          <w:szCs w:val="24"/>
        </w:rPr>
        <w:t xml:space="preserve">n vigoare aplicabile pentru fiecare Participant </w:t>
      </w:r>
      <w:r w:rsidR="006C213E">
        <w:rPr>
          <w:rFonts w:ascii="Times New Roman" w:hAnsi="Times New Roman" w:cs="Times New Roman"/>
          <w:sz w:val="24"/>
          <w:szCs w:val="24"/>
        </w:rPr>
        <w:t>î</w:t>
      </w:r>
      <w:r w:rsidRPr="00C961E0">
        <w:rPr>
          <w:rFonts w:ascii="Times New Roman" w:hAnsi="Times New Roman" w:cs="Times New Roman"/>
          <w:sz w:val="24"/>
          <w:szCs w:val="24"/>
        </w:rPr>
        <w:t>n parte, inclusiv BRM.</w:t>
      </w:r>
    </w:p>
    <w:p w14:paraId="654F1A3E" w14:textId="71A637CF" w:rsidR="00504F1E" w:rsidRPr="00C961E0" w:rsidRDefault="00F25208" w:rsidP="00C961E0">
      <w:pPr>
        <w:pStyle w:val="ListParagraph"/>
        <w:numPr>
          <w:ilvl w:val="1"/>
          <w:numId w:val="1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62363672"/>
      <w:bookmarkEnd w:id="26"/>
      <w:bookmarkEnd w:id="27"/>
      <w:r w:rsidRPr="00C961E0">
        <w:rPr>
          <w:rFonts w:ascii="Times New Roman" w:hAnsi="Times New Roman" w:cs="Times New Roman"/>
          <w:sz w:val="24"/>
          <w:szCs w:val="24"/>
        </w:rPr>
        <w:t xml:space="preserve">Factura </w:t>
      </w:r>
      <w:r w:rsidR="00502693" w:rsidRPr="00C961E0">
        <w:rPr>
          <w:rFonts w:ascii="Times New Roman" w:hAnsi="Times New Roman" w:cs="Times New Roman"/>
          <w:sz w:val="24"/>
          <w:szCs w:val="24"/>
        </w:rPr>
        <w:t xml:space="preserve">pentru </w:t>
      </w:r>
      <w:r w:rsidRPr="00C961E0">
        <w:rPr>
          <w:rFonts w:ascii="Times New Roman" w:hAnsi="Times New Roman" w:cs="Times New Roman"/>
          <w:sz w:val="24"/>
          <w:szCs w:val="24"/>
        </w:rPr>
        <w:t xml:space="preserve">energia electrică vândută </w:t>
      </w:r>
      <w:r w:rsidR="00F774FE" w:rsidRPr="00C961E0">
        <w:rPr>
          <w:rFonts w:ascii="Times New Roman" w:hAnsi="Times New Roman" w:cs="Times New Roman"/>
          <w:sz w:val="24"/>
          <w:szCs w:val="24"/>
        </w:rPr>
        <w:t xml:space="preserve">se </w:t>
      </w:r>
      <w:r w:rsidR="00BF5CE2" w:rsidRPr="00C961E0">
        <w:rPr>
          <w:rFonts w:ascii="Times New Roman" w:hAnsi="Times New Roman" w:cs="Times New Roman"/>
          <w:sz w:val="24"/>
          <w:szCs w:val="24"/>
        </w:rPr>
        <w:t xml:space="preserve">va </w:t>
      </w:r>
      <w:r w:rsidR="00F774FE" w:rsidRPr="00C961E0">
        <w:rPr>
          <w:rFonts w:ascii="Times New Roman" w:hAnsi="Times New Roman" w:cs="Times New Roman"/>
          <w:sz w:val="24"/>
          <w:szCs w:val="24"/>
        </w:rPr>
        <w:t xml:space="preserve">emite </w:t>
      </w:r>
      <w:r w:rsidR="00576855" w:rsidRPr="00C961E0">
        <w:rPr>
          <w:rFonts w:ascii="Times New Roman" w:hAnsi="Times New Roman" w:cs="Times New Roman"/>
          <w:sz w:val="24"/>
          <w:szCs w:val="24"/>
        </w:rPr>
        <w:t>pentru</w:t>
      </w:r>
      <w:r w:rsidR="00502693" w:rsidRPr="00C961E0">
        <w:rPr>
          <w:rFonts w:ascii="Times New Roman" w:hAnsi="Times New Roman" w:cs="Times New Roman"/>
          <w:sz w:val="24"/>
          <w:szCs w:val="24"/>
        </w:rPr>
        <w:t xml:space="preserve"> </w:t>
      </w:r>
      <w:r w:rsidR="00F63917">
        <w:rPr>
          <w:rFonts w:ascii="Times New Roman" w:hAnsi="Times New Roman" w:cs="Times New Roman"/>
          <w:sz w:val="24"/>
          <w:szCs w:val="24"/>
        </w:rPr>
        <w:t>î</w:t>
      </w:r>
      <w:r w:rsidR="00502693" w:rsidRPr="00C961E0">
        <w:rPr>
          <w:rFonts w:ascii="Times New Roman" w:hAnsi="Times New Roman" w:cs="Times New Roman"/>
          <w:sz w:val="24"/>
          <w:szCs w:val="24"/>
        </w:rPr>
        <w:t xml:space="preserve">ntreaga </w:t>
      </w:r>
      <w:r w:rsidR="00F774FE" w:rsidRPr="00C961E0">
        <w:rPr>
          <w:rFonts w:ascii="Times New Roman" w:hAnsi="Times New Roman" w:cs="Times New Roman"/>
          <w:sz w:val="24"/>
          <w:szCs w:val="24"/>
        </w:rPr>
        <w:t>cantitate</w:t>
      </w:r>
      <w:r w:rsidR="00502693" w:rsidRPr="00C961E0">
        <w:rPr>
          <w:rFonts w:ascii="Times New Roman" w:hAnsi="Times New Roman" w:cs="Times New Roman"/>
          <w:sz w:val="24"/>
          <w:szCs w:val="24"/>
        </w:rPr>
        <w:t xml:space="preserve"> de energie electric</w:t>
      </w:r>
      <w:r w:rsidR="00F63917">
        <w:rPr>
          <w:rFonts w:ascii="Times New Roman" w:hAnsi="Times New Roman" w:cs="Times New Roman"/>
          <w:sz w:val="24"/>
          <w:szCs w:val="24"/>
        </w:rPr>
        <w:t>ă</w:t>
      </w:r>
      <w:r w:rsidR="00502693" w:rsidRPr="00C961E0">
        <w:rPr>
          <w:rFonts w:ascii="Times New Roman" w:hAnsi="Times New Roman" w:cs="Times New Roman"/>
          <w:sz w:val="24"/>
          <w:szCs w:val="24"/>
        </w:rPr>
        <w:t xml:space="preserve"> v</w:t>
      </w:r>
      <w:r w:rsidR="00F63917">
        <w:rPr>
          <w:rFonts w:ascii="Times New Roman" w:hAnsi="Times New Roman" w:cs="Times New Roman"/>
          <w:sz w:val="24"/>
          <w:szCs w:val="24"/>
        </w:rPr>
        <w:t>â</w:t>
      </w:r>
      <w:r w:rsidR="00502693" w:rsidRPr="00C961E0">
        <w:rPr>
          <w:rFonts w:ascii="Times New Roman" w:hAnsi="Times New Roman" w:cs="Times New Roman"/>
          <w:sz w:val="24"/>
          <w:szCs w:val="24"/>
        </w:rPr>
        <w:t>ndut</w:t>
      </w:r>
      <w:r w:rsidR="00F63917">
        <w:rPr>
          <w:rFonts w:ascii="Times New Roman" w:hAnsi="Times New Roman" w:cs="Times New Roman"/>
          <w:sz w:val="24"/>
          <w:szCs w:val="24"/>
        </w:rPr>
        <w:t>ă</w:t>
      </w:r>
      <w:r w:rsidR="0018684D" w:rsidRPr="00C961E0">
        <w:rPr>
          <w:rFonts w:ascii="Times New Roman" w:hAnsi="Times New Roman" w:cs="Times New Roman"/>
          <w:sz w:val="24"/>
          <w:szCs w:val="24"/>
        </w:rPr>
        <w:t>,</w:t>
      </w:r>
      <w:r w:rsidR="00F774FE" w:rsidRPr="00C961E0">
        <w:rPr>
          <w:rFonts w:ascii="Times New Roman" w:hAnsi="Times New Roman" w:cs="Times New Roman"/>
          <w:sz w:val="24"/>
          <w:szCs w:val="24"/>
        </w:rPr>
        <w:t xml:space="preserve"> </w:t>
      </w:r>
      <w:r w:rsidR="00502693" w:rsidRPr="00C961E0">
        <w:rPr>
          <w:rFonts w:ascii="Times New Roman" w:hAnsi="Times New Roman" w:cs="Times New Roman"/>
          <w:sz w:val="24"/>
          <w:szCs w:val="24"/>
        </w:rPr>
        <w:t>inclusiv</w:t>
      </w:r>
      <w:r w:rsidR="00F63917">
        <w:rPr>
          <w:rFonts w:ascii="Times New Roman" w:hAnsi="Times New Roman" w:cs="Times New Roman"/>
          <w:sz w:val="24"/>
          <w:szCs w:val="24"/>
        </w:rPr>
        <w:t xml:space="preserve"> </w:t>
      </w:r>
      <w:r w:rsidR="00502693" w:rsidRPr="00C961E0">
        <w:rPr>
          <w:rFonts w:ascii="Times New Roman" w:hAnsi="Times New Roman" w:cs="Times New Roman"/>
          <w:sz w:val="24"/>
          <w:szCs w:val="24"/>
        </w:rPr>
        <w:t>energia electric</w:t>
      </w:r>
      <w:r w:rsidR="00F63917">
        <w:rPr>
          <w:rFonts w:ascii="Times New Roman" w:hAnsi="Times New Roman" w:cs="Times New Roman"/>
          <w:sz w:val="24"/>
          <w:szCs w:val="24"/>
        </w:rPr>
        <w:t>ă</w:t>
      </w:r>
      <w:r w:rsidR="00502693" w:rsidRPr="00C961E0">
        <w:rPr>
          <w:rFonts w:ascii="Times New Roman" w:hAnsi="Times New Roman" w:cs="Times New Roman"/>
          <w:sz w:val="24"/>
          <w:szCs w:val="24"/>
        </w:rPr>
        <w:t xml:space="preserve"> v</w:t>
      </w:r>
      <w:r w:rsidR="00F63917">
        <w:rPr>
          <w:rFonts w:ascii="Times New Roman" w:hAnsi="Times New Roman" w:cs="Times New Roman"/>
          <w:sz w:val="24"/>
          <w:szCs w:val="24"/>
        </w:rPr>
        <w:t>â</w:t>
      </w:r>
      <w:r w:rsidR="00502693" w:rsidRPr="00C961E0">
        <w:rPr>
          <w:rFonts w:ascii="Times New Roman" w:hAnsi="Times New Roman" w:cs="Times New Roman"/>
          <w:sz w:val="24"/>
          <w:szCs w:val="24"/>
        </w:rPr>
        <w:t>ndut</w:t>
      </w:r>
      <w:r w:rsidR="00F63917">
        <w:rPr>
          <w:rFonts w:ascii="Times New Roman" w:hAnsi="Times New Roman" w:cs="Times New Roman"/>
          <w:sz w:val="24"/>
          <w:szCs w:val="24"/>
        </w:rPr>
        <w:t>ă</w:t>
      </w:r>
      <w:r w:rsidR="00502693" w:rsidRPr="00C961E0">
        <w:rPr>
          <w:rFonts w:ascii="Times New Roman" w:hAnsi="Times New Roman" w:cs="Times New Roman"/>
          <w:sz w:val="24"/>
          <w:szCs w:val="24"/>
        </w:rPr>
        <w:t xml:space="preserve"> </w:t>
      </w:r>
      <w:r w:rsidR="0018684D" w:rsidRPr="00C961E0">
        <w:rPr>
          <w:rFonts w:ascii="Times New Roman" w:hAnsi="Times New Roman" w:cs="Times New Roman"/>
          <w:sz w:val="24"/>
          <w:szCs w:val="24"/>
        </w:rPr>
        <w:t>la preț negativ</w:t>
      </w:r>
      <w:r w:rsidR="00502693" w:rsidRPr="00C961E0">
        <w:rPr>
          <w:rFonts w:ascii="Times New Roman" w:hAnsi="Times New Roman" w:cs="Times New Roman"/>
          <w:sz w:val="24"/>
          <w:szCs w:val="24"/>
        </w:rPr>
        <w:t>, cu men</w:t>
      </w:r>
      <w:r w:rsidR="00F63917">
        <w:rPr>
          <w:rFonts w:ascii="Times New Roman" w:hAnsi="Times New Roman" w:cs="Times New Roman"/>
          <w:sz w:val="24"/>
          <w:szCs w:val="24"/>
        </w:rPr>
        <w:t>ţ</w:t>
      </w:r>
      <w:r w:rsidR="00502693" w:rsidRPr="00C961E0">
        <w:rPr>
          <w:rFonts w:ascii="Times New Roman" w:hAnsi="Times New Roman" w:cs="Times New Roman"/>
          <w:sz w:val="24"/>
          <w:szCs w:val="24"/>
        </w:rPr>
        <w:t>iunea c</w:t>
      </w:r>
      <w:r w:rsidR="00F63917">
        <w:rPr>
          <w:rFonts w:ascii="Times New Roman" w:hAnsi="Times New Roman" w:cs="Times New Roman"/>
          <w:sz w:val="24"/>
          <w:szCs w:val="24"/>
        </w:rPr>
        <w:t>ă</w:t>
      </w:r>
      <w:r w:rsidR="0018684D" w:rsidRPr="00C961E0">
        <w:rPr>
          <w:rFonts w:ascii="Times New Roman" w:hAnsi="Times New Roman" w:cs="Times New Roman"/>
          <w:sz w:val="24"/>
          <w:szCs w:val="24"/>
        </w:rPr>
        <w:t xml:space="preserve"> </w:t>
      </w:r>
      <w:r w:rsidR="00502693" w:rsidRPr="00C961E0">
        <w:rPr>
          <w:rFonts w:ascii="Times New Roman" w:hAnsi="Times New Roman" w:cs="Times New Roman"/>
          <w:sz w:val="24"/>
          <w:szCs w:val="24"/>
        </w:rPr>
        <w:t xml:space="preserve">aceasta </w:t>
      </w:r>
      <w:r w:rsidR="0018684D" w:rsidRPr="00C961E0">
        <w:rPr>
          <w:rFonts w:ascii="Times New Roman" w:hAnsi="Times New Roman" w:cs="Times New Roman"/>
          <w:sz w:val="24"/>
          <w:szCs w:val="24"/>
        </w:rPr>
        <w:t>este considerată livrare gratuită.</w:t>
      </w:r>
    </w:p>
    <w:p w14:paraId="7AF6B19A" w14:textId="6B81EF23" w:rsidR="00502693" w:rsidRPr="00C961E0" w:rsidRDefault="00504F1E" w:rsidP="00C961E0">
      <w:pPr>
        <w:pStyle w:val="ListParagraph"/>
        <w:numPr>
          <w:ilvl w:val="1"/>
          <w:numId w:val="1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Hlk162363953"/>
      <w:r w:rsidRPr="00C961E0">
        <w:rPr>
          <w:rFonts w:ascii="Times New Roman" w:hAnsi="Times New Roman" w:cs="Times New Roman"/>
          <w:sz w:val="24"/>
          <w:szCs w:val="24"/>
        </w:rPr>
        <w:lastRenderedPageBreak/>
        <w:t xml:space="preserve">Factura de </w:t>
      </w:r>
      <w:r w:rsidR="002250CC" w:rsidRPr="00C961E0">
        <w:rPr>
          <w:rFonts w:ascii="Times New Roman" w:hAnsi="Times New Roman" w:cs="Times New Roman"/>
          <w:sz w:val="24"/>
          <w:szCs w:val="24"/>
        </w:rPr>
        <w:t xml:space="preserve">prestări </w:t>
      </w:r>
      <w:r w:rsidRPr="00C961E0">
        <w:rPr>
          <w:rFonts w:ascii="Times New Roman" w:hAnsi="Times New Roman" w:cs="Times New Roman"/>
          <w:sz w:val="24"/>
          <w:szCs w:val="24"/>
        </w:rPr>
        <w:t xml:space="preserve">servicii </w:t>
      </w:r>
      <w:r w:rsidR="00502693" w:rsidRPr="00C961E0">
        <w:rPr>
          <w:rFonts w:ascii="Times New Roman" w:hAnsi="Times New Roman" w:cs="Times New Roman"/>
          <w:sz w:val="24"/>
          <w:szCs w:val="24"/>
        </w:rPr>
        <w:t xml:space="preserve">se va emite </w:t>
      </w:r>
      <w:r w:rsidRPr="00C961E0">
        <w:rPr>
          <w:rFonts w:ascii="Times New Roman" w:hAnsi="Times New Roman" w:cs="Times New Roman"/>
          <w:sz w:val="24"/>
          <w:szCs w:val="24"/>
        </w:rPr>
        <w:t xml:space="preserve">pentru </w:t>
      </w:r>
      <w:r w:rsidR="00F63917">
        <w:rPr>
          <w:rFonts w:ascii="Times New Roman" w:hAnsi="Times New Roman" w:cs="Times New Roman"/>
          <w:sz w:val="24"/>
          <w:szCs w:val="24"/>
        </w:rPr>
        <w:t>î</w:t>
      </w:r>
      <w:r w:rsidR="00502693" w:rsidRPr="00C961E0">
        <w:rPr>
          <w:rFonts w:ascii="Times New Roman" w:hAnsi="Times New Roman" w:cs="Times New Roman"/>
          <w:sz w:val="24"/>
          <w:szCs w:val="24"/>
        </w:rPr>
        <w:t>ntreaga cantitate de energie electric</w:t>
      </w:r>
      <w:r w:rsidR="00F63917">
        <w:rPr>
          <w:rFonts w:ascii="Times New Roman" w:hAnsi="Times New Roman" w:cs="Times New Roman"/>
          <w:sz w:val="24"/>
          <w:szCs w:val="24"/>
        </w:rPr>
        <w:t>ă</w:t>
      </w:r>
      <w:r w:rsidR="00502693" w:rsidRPr="00C961E0">
        <w:rPr>
          <w:rFonts w:ascii="Times New Roman" w:hAnsi="Times New Roman" w:cs="Times New Roman"/>
          <w:sz w:val="24"/>
          <w:szCs w:val="24"/>
        </w:rPr>
        <w:t xml:space="preserve"> c</w:t>
      </w:r>
      <w:r w:rsidRPr="00C961E0">
        <w:rPr>
          <w:rFonts w:ascii="Times New Roman" w:hAnsi="Times New Roman" w:cs="Times New Roman"/>
          <w:sz w:val="24"/>
          <w:szCs w:val="24"/>
        </w:rPr>
        <w:t>umpăra</w:t>
      </w:r>
      <w:r w:rsidR="00502693" w:rsidRPr="00C961E0">
        <w:rPr>
          <w:rFonts w:ascii="Times New Roman" w:hAnsi="Times New Roman" w:cs="Times New Roman"/>
          <w:sz w:val="24"/>
          <w:szCs w:val="24"/>
        </w:rPr>
        <w:t>t</w:t>
      </w:r>
      <w:r w:rsidR="00D52A12">
        <w:rPr>
          <w:rFonts w:ascii="Times New Roman" w:hAnsi="Times New Roman" w:cs="Times New Roman"/>
          <w:sz w:val="24"/>
          <w:szCs w:val="24"/>
        </w:rPr>
        <w:t>ă</w:t>
      </w:r>
      <w:r w:rsidRPr="00C961E0">
        <w:rPr>
          <w:rFonts w:ascii="Times New Roman" w:hAnsi="Times New Roman" w:cs="Times New Roman"/>
          <w:sz w:val="24"/>
          <w:szCs w:val="24"/>
        </w:rPr>
        <w:t xml:space="preserve"> la preț negativ</w:t>
      </w:r>
      <w:r w:rsidR="00576855" w:rsidRPr="00C961E0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8"/>
    <w:bookmarkEnd w:id="29"/>
    <w:p w14:paraId="44DC9789" w14:textId="469BC2C7" w:rsidR="00502693" w:rsidRPr="00C961E0" w:rsidRDefault="00502693" w:rsidP="00C961E0">
      <w:pPr>
        <w:pStyle w:val="ListParagraph"/>
        <w:numPr>
          <w:ilvl w:val="1"/>
          <w:numId w:val="1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 w:rsidRPr="00C961E0">
        <w:rPr>
          <w:rFonts w:ascii="Times New Roman" w:hAnsi="Times New Roman" w:cs="Times New Roman"/>
          <w:sz w:val="24"/>
          <w:szCs w:val="24"/>
        </w:rPr>
        <w:t xml:space="preserve">Facturile vor fie emise pentru </w:t>
      </w:r>
      <w:r w:rsidR="00F63917">
        <w:rPr>
          <w:rFonts w:ascii="Times New Roman" w:hAnsi="Times New Roman" w:cs="Times New Roman"/>
          <w:sz w:val="24"/>
          <w:szCs w:val="24"/>
        </w:rPr>
        <w:t>î</w:t>
      </w:r>
      <w:r w:rsidRPr="00C961E0">
        <w:rPr>
          <w:rFonts w:ascii="Times New Roman" w:hAnsi="Times New Roman" w:cs="Times New Roman"/>
          <w:sz w:val="24"/>
          <w:szCs w:val="24"/>
        </w:rPr>
        <w:t>ntreaga lun</w:t>
      </w:r>
      <w:r w:rsidR="00F63917">
        <w:rPr>
          <w:rFonts w:ascii="Times New Roman" w:hAnsi="Times New Roman" w:cs="Times New Roman"/>
          <w:sz w:val="24"/>
          <w:szCs w:val="24"/>
        </w:rPr>
        <w:t>ă</w:t>
      </w:r>
      <w:r w:rsidRPr="00C961E0">
        <w:rPr>
          <w:rFonts w:ascii="Times New Roman" w:hAnsi="Times New Roman" w:cs="Times New Roman"/>
          <w:sz w:val="24"/>
          <w:szCs w:val="24"/>
        </w:rPr>
        <w:t xml:space="preserve"> de livrare exprimat</w:t>
      </w:r>
      <w:r w:rsidR="00F63917">
        <w:rPr>
          <w:rFonts w:ascii="Times New Roman" w:hAnsi="Times New Roman" w:cs="Times New Roman"/>
          <w:sz w:val="24"/>
          <w:szCs w:val="24"/>
        </w:rPr>
        <w:t>ă</w:t>
      </w:r>
      <w:r w:rsidRPr="00C961E0">
        <w:rPr>
          <w:rFonts w:ascii="Times New Roman" w:hAnsi="Times New Roman" w:cs="Times New Roman"/>
          <w:sz w:val="24"/>
          <w:szCs w:val="24"/>
        </w:rPr>
        <w:t xml:space="preserve"> </w:t>
      </w:r>
      <w:r w:rsidR="00F63917">
        <w:rPr>
          <w:rFonts w:ascii="Times New Roman" w:hAnsi="Times New Roman" w:cs="Times New Roman"/>
          <w:sz w:val="24"/>
          <w:szCs w:val="24"/>
        </w:rPr>
        <w:t>î</w:t>
      </w:r>
      <w:r w:rsidRPr="00C961E0">
        <w:rPr>
          <w:rFonts w:ascii="Times New Roman" w:hAnsi="Times New Roman" w:cs="Times New Roman"/>
          <w:sz w:val="24"/>
          <w:szCs w:val="24"/>
        </w:rPr>
        <w:t xml:space="preserve">n ore CET, conform NZD emise la valorile calculate </w:t>
      </w:r>
      <w:r w:rsidR="00F63917">
        <w:rPr>
          <w:rFonts w:ascii="Times New Roman" w:hAnsi="Times New Roman" w:cs="Times New Roman"/>
          <w:sz w:val="24"/>
          <w:szCs w:val="24"/>
        </w:rPr>
        <w:t>î</w:t>
      </w:r>
      <w:r w:rsidRPr="00C961E0">
        <w:rPr>
          <w:rFonts w:ascii="Times New Roman" w:hAnsi="Times New Roman" w:cs="Times New Roman"/>
          <w:sz w:val="24"/>
          <w:szCs w:val="24"/>
        </w:rPr>
        <w:t xml:space="preserve">n </w:t>
      </w:r>
      <w:r w:rsidR="00F63917">
        <w:rPr>
          <w:rFonts w:ascii="Times New Roman" w:hAnsi="Times New Roman" w:cs="Times New Roman"/>
          <w:sz w:val="24"/>
          <w:szCs w:val="24"/>
        </w:rPr>
        <w:t>Ron</w:t>
      </w:r>
      <w:r w:rsidRPr="00C961E0">
        <w:rPr>
          <w:rFonts w:ascii="Times New Roman" w:hAnsi="Times New Roman" w:cs="Times New Roman"/>
          <w:sz w:val="24"/>
          <w:szCs w:val="24"/>
        </w:rPr>
        <w:t>.</w:t>
      </w:r>
    </w:p>
    <w:p w14:paraId="790D7818" w14:textId="6D53E6CE" w:rsidR="00502693" w:rsidRPr="002202F9" w:rsidRDefault="00F774FE" w:rsidP="00F63917">
      <w:pPr>
        <w:pStyle w:val="ListParagraph"/>
        <w:numPr>
          <w:ilvl w:val="1"/>
          <w:numId w:val="18"/>
        </w:numPr>
        <w:spacing w:line="360" w:lineRule="auto"/>
        <w:ind w:left="1350" w:hanging="634"/>
        <w:jc w:val="both"/>
        <w:rPr>
          <w:rFonts w:ascii="Times New Roman" w:hAnsi="Times New Roman" w:cs="Times New Roman"/>
          <w:sz w:val="24"/>
          <w:szCs w:val="24"/>
        </w:rPr>
      </w:pPr>
      <w:r w:rsidRPr="00C961E0">
        <w:rPr>
          <w:rFonts w:ascii="Times New Roman" w:hAnsi="Times New Roman" w:cs="Times New Roman"/>
          <w:sz w:val="24"/>
          <w:szCs w:val="24"/>
        </w:rPr>
        <w:t xml:space="preserve">Facturile </w:t>
      </w:r>
      <w:r w:rsidR="00F63917">
        <w:rPr>
          <w:rFonts w:ascii="Times New Roman" w:hAnsi="Times New Roman" w:cs="Times New Roman"/>
          <w:sz w:val="24"/>
          <w:szCs w:val="24"/>
        </w:rPr>
        <w:t>vor fi generate în</w:t>
      </w:r>
      <w:r w:rsidR="00502693" w:rsidRPr="00C961E0">
        <w:rPr>
          <w:rFonts w:ascii="Times New Roman" w:hAnsi="Times New Roman" w:cs="Times New Roman"/>
          <w:sz w:val="24"/>
          <w:szCs w:val="24"/>
        </w:rPr>
        <w:t xml:space="preserve"> </w:t>
      </w:r>
      <w:r w:rsidR="00F63917" w:rsidRPr="00C961E0">
        <w:rPr>
          <w:rFonts w:ascii="Times New Roman" w:hAnsi="Times New Roman" w:cs="Times New Roman"/>
          <w:sz w:val="24"/>
          <w:szCs w:val="24"/>
        </w:rPr>
        <w:t>conform</w:t>
      </w:r>
      <w:r w:rsidR="00F63917">
        <w:rPr>
          <w:rFonts w:ascii="Times New Roman" w:hAnsi="Times New Roman" w:cs="Times New Roman"/>
          <w:sz w:val="24"/>
          <w:szCs w:val="24"/>
        </w:rPr>
        <w:t>itate cu</w:t>
      </w:r>
      <w:r w:rsidR="00F63917" w:rsidRPr="00C961E0">
        <w:rPr>
          <w:rFonts w:ascii="Times New Roman" w:hAnsi="Times New Roman" w:cs="Times New Roman"/>
          <w:sz w:val="24"/>
          <w:szCs w:val="24"/>
        </w:rPr>
        <w:t xml:space="preserve"> prevederi</w:t>
      </w:r>
      <w:r w:rsidR="00F63917">
        <w:rPr>
          <w:rFonts w:ascii="Times New Roman" w:hAnsi="Times New Roman" w:cs="Times New Roman"/>
          <w:sz w:val="24"/>
          <w:szCs w:val="24"/>
        </w:rPr>
        <w:t>le</w:t>
      </w:r>
      <w:r w:rsidR="00F63917" w:rsidRPr="00C961E0">
        <w:rPr>
          <w:rFonts w:ascii="Times New Roman" w:hAnsi="Times New Roman" w:cs="Times New Roman"/>
          <w:sz w:val="24"/>
          <w:szCs w:val="24"/>
        </w:rPr>
        <w:t xml:space="preserve"> Codului Fiscal</w:t>
      </w:r>
      <w:r w:rsidR="00F63917">
        <w:rPr>
          <w:rFonts w:ascii="Times New Roman" w:hAnsi="Times New Roman" w:cs="Times New Roman"/>
          <w:sz w:val="24"/>
          <w:szCs w:val="24"/>
        </w:rPr>
        <w:t xml:space="preserve"> ş</w:t>
      </w:r>
      <w:r w:rsidR="00502693" w:rsidRPr="00C961E0">
        <w:rPr>
          <w:rFonts w:ascii="Times New Roman" w:hAnsi="Times New Roman" w:cs="Times New Roman"/>
          <w:sz w:val="24"/>
          <w:szCs w:val="24"/>
        </w:rPr>
        <w:t xml:space="preserve">i </w:t>
      </w:r>
      <w:r w:rsidR="00BF5CE2" w:rsidRPr="00C961E0">
        <w:rPr>
          <w:rFonts w:ascii="Times New Roman" w:hAnsi="Times New Roman" w:cs="Times New Roman"/>
          <w:sz w:val="24"/>
          <w:szCs w:val="24"/>
        </w:rPr>
        <w:t>vor</w:t>
      </w:r>
      <w:r w:rsidRPr="00C961E0">
        <w:rPr>
          <w:rFonts w:ascii="Times New Roman" w:hAnsi="Times New Roman" w:cs="Times New Roman"/>
          <w:sz w:val="24"/>
          <w:szCs w:val="24"/>
        </w:rPr>
        <w:t xml:space="preserve"> </w:t>
      </w:r>
      <w:r w:rsidR="00502693" w:rsidRPr="00C961E0">
        <w:rPr>
          <w:rFonts w:ascii="Times New Roman" w:hAnsi="Times New Roman" w:cs="Times New Roman"/>
          <w:sz w:val="24"/>
          <w:szCs w:val="24"/>
        </w:rPr>
        <w:t xml:space="preserve">fi </w:t>
      </w:r>
      <w:r w:rsidRPr="00A0156A">
        <w:rPr>
          <w:rFonts w:ascii="Times New Roman" w:hAnsi="Times New Roman" w:cs="Times New Roman"/>
          <w:sz w:val="24"/>
          <w:szCs w:val="24"/>
        </w:rPr>
        <w:t>transm</w:t>
      </w:r>
      <w:r w:rsidR="00F63917" w:rsidRPr="00A0156A">
        <w:rPr>
          <w:rFonts w:ascii="Times New Roman" w:hAnsi="Times New Roman" w:cs="Times New Roman"/>
          <w:sz w:val="24"/>
          <w:szCs w:val="24"/>
        </w:rPr>
        <w:t>i</w:t>
      </w:r>
      <w:r w:rsidR="00502693" w:rsidRPr="00A0156A">
        <w:rPr>
          <w:rFonts w:ascii="Times New Roman" w:hAnsi="Times New Roman" w:cs="Times New Roman"/>
          <w:sz w:val="24"/>
          <w:szCs w:val="24"/>
        </w:rPr>
        <w:t>se</w:t>
      </w:r>
      <w:r w:rsidRPr="00A0156A">
        <w:rPr>
          <w:rFonts w:ascii="Times New Roman" w:hAnsi="Times New Roman" w:cs="Times New Roman"/>
          <w:sz w:val="24"/>
          <w:szCs w:val="24"/>
        </w:rPr>
        <w:t xml:space="preserve"> până </w:t>
      </w:r>
      <w:r w:rsidR="00576855" w:rsidRPr="00A0156A">
        <w:rPr>
          <w:rFonts w:ascii="Times New Roman" w:hAnsi="Times New Roman" w:cs="Times New Roman"/>
          <w:sz w:val="24"/>
          <w:szCs w:val="24"/>
        </w:rPr>
        <w:t xml:space="preserve">pe </w:t>
      </w:r>
      <w:r w:rsidRPr="00A0156A">
        <w:rPr>
          <w:rFonts w:ascii="Times New Roman" w:hAnsi="Times New Roman" w:cs="Times New Roman"/>
          <w:sz w:val="24"/>
          <w:szCs w:val="24"/>
        </w:rPr>
        <w:t xml:space="preserve">data de </w:t>
      </w:r>
      <w:r w:rsidR="006F6B82" w:rsidRPr="00A0156A">
        <w:rPr>
          <w:rFonts w:ascii="Times New Roman" w:hAnsi="Times New Roman" w:cs="Times New Roman"/>
          <w:sz w:val="24"/>
          <w:szCs w:val="24"/>
        </w:rPr>
        <w:t xml:space="preserve">5 </w:t>
      </w:r>
      <w:r w:rsidR="00F63917" w:rsidRPr="00A0156A">
        <w:rPr>
          <w:rFonts w:ascii="Times New Roman" w:hAnsi="Times New Roman" w:cs="Times New Roman"/>
          <w:sz w:val="24"/>
          <w:szCs w:val="24"/>
        </w:rPr>
        <w:t>a lunii ce urmează</w:t>
      </w:r>
      <w:r w:rsidR="00F63917" w:rsidRPr="00F63917">
        <w:rPr>
          <w:rFonts w:ascii="Times New Roman" w:hAnsi="Times New Roman" w:cs="Times New Roman"/>
          <w:sz w:val="24"/>
          <w:szCs w:val="24"/>
        </w:rPr>
        <w:t xml:space="preserve"> celei în care a avut loc livrarea</w:t>
      </w:r>
      <w:r w:rsidR="00502693" w:rsidRPr="00C961E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EAE7E6" w14:textId="77777777" w:rsidR="007A5B50" w:rsidRPr="00C961E0" w:rsidRDefault="007A5B50" w:rsidP="00C961E0">
      <w:pPr>
        <w:pStyle w:val="ListParagraph"/>
        <w:spacing w:line="360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14:paraId="06255D61" w14:textId="3A225DA1" w:rsidR="00EA4C3B" w:rsidRPr="002202F9" w:rsidRDefault="00EA4C3B" w:rsidP="00C961E0">
      <w:pPr>
        <w:pStyle w:val="Heading1"/>
        <w:numPr>
          <w:ilvl w:val="0"/>
          <w:numId w:val="9"/>
        </w:numPr>
        <w:spacing w:before="0"/>
        <w:ind w:left="432" w:hanging="432"/>
      </w:pPr>
      <w:bookmarkStart w:id="30" w:name="_Toc163209733"/>
      <w:bookmarkStart w:id="31" w:name="_Toc163209734"/>
      <w:bookmarkStart w:id="32" w:name="_Toc163209735"/>
      <w:bookmarkStart w:id="33" w:name="_Toc163209736"/>
      <w:bookmarkStart w:id="34" w:name="_Toc163211435"/>
      <w:bookmarkEnd w:id="30"/>
      <w:bookmarkEnd w:id="31"/>
      <w:bookmarkEnd w:id="32"/>
      <w:bookmarkEnd w:id="33"/>
      <w:r w:rsidRPr="002202F9">
        <w:t>Garantarea tranzac</w:t>
      </w:r>
      <w:r w:rsidR="00F63917">
        <w:t>ţ</w:t>
      </w:r>
      <w:r w:rsidRPr="002202F9">
        <w:t>iilor</w:t>
      </w:r>
      <w:bookmarkEnd w:id="34"/>
      <w:r w:rsidRPr="002202F9">
        <w:t xml:space="preserve"> </w:t>
      </w:r>
    </w:p>
    <w:p w14:paraId="627BFB26" w14:textId="46CA665F" w:rsidR="00EA4C3B" w:rsidRPr="002202F9" w:rsidRDefault="00EA4C3B" w:rsidP="00C961E0">
      <w:pPr>
        <w:pStyle w:val="ListParagraph"/>
        <w:numPr>
          <w:ilvl w:val="1"/>
          <w:numId w:val="27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Garantarea tranzac</w:t>
      </w:r>
      <w:r w:rsidR="00F63917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iilor este </w:t>
      </w:r>
      <w:r w:rsidR="00F63917">
        <w:rPr>
          <w:rFonts w:ascii="Times New Roman" w:hAnsi="Times New Roman" w:cs="Times New Roman"/>
          <w:sz w:val="24"/>
          <w:szCs w:val="24"/>
        </w:rPr>
        <w:t xml:space="preserve">o </w:t>
      </w:r>
      <w:r w:rsidRPr="002202F9">
        <w:rPr>
          <w:rFonts w:ascii="Times New Roman" w:hAnsi="Times New Roman" w:cs="Times New Roman"/>
          <w:sz w:val="24"/>
          <w:szCs w:val="24"/>
        </w:rPr>
        <w:t>condi</w:t>
      </w:r>
      <w:r w:rsidR="00F63917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ie obligatorie pentru participarea la </w:t>
      </w:r>
      <w:r w:rsidR="00743C94">
        <w:rPr>
          <w:rFonts w:ascii="Times New Roman" w:hAnsi="Times New Roman" w:cs="Times New Roman"/>
          <w:sz w:val="24"/>
          <w:szCs w:val="24"/>
        </w:rPr>
        <w:t>PZU</w:t>
      </w:r>
      <w:r w:rsidR="00743C94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742513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vederea desf</w:t>
      </w:r>
      <w:r w:rsidR="00742513">
        <w:rPr>
          <w:rFonts w:ascii="Times New Roman" w:hAnsi="Times New Roman" w:cs="Times New Roman"/>
          <w:sz w:val="24"/>
          <w:szCs w:val="24"/>
        </w:rPr>
        <w:t>ă</w:t>
      </w:r>
      <w:r w:rsidR="00D52A12">
        <w:rPr>
          <w:rFonts w:ascii="Times New Roman" w:hAnsi="Times New Roman" w:cs="Times New Roman"/>
          <w:sz w:val="24"/>
          <w:szCs w:val="24"/>
        </w:rPr>
        <w:t>ș</w:t>
      </w:r>
      <w:r w:rsidRPr="002202F9">
        <w:rPr>
          <w:rFonts w:ascii="Times New Roman" w:hAnsi="Times New Roman" w:cs="Times New Roman"/>
          <w:sz w:val="24"/>
          <w:szCs w:val="24"/>
        </w:rPr>
        <w:t>ur</w:t>
      </w:r>
      <w:r w:rsidR="00742513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>rii activit</w:t>
      </w:r>
      <w:r w:rsidR="00742513">
        <w:rPr>
          <w:rFonts w:ascii="Times New Roman" w:hAnsi="Times New Roman" w:cs="Times New Roman"/>
          <w:sz w:val="24"/>
          <w:szCs w:val="24"/>
        </w:rPr>
        <w:t>ăţ</w:t>
      </w:r>
      <w:r w:rsidRPr="002202F9">
        <w:rPr>
          <w:rFonts w:ascii="Times New Roman" w:hAnsi="Times New Roman" w:cs="Times New Roman"/>
          <w:sz w:val="24"/>
          <w:szCs w:val="24"/>
        </w:rPr>
        <w:t>ii de tranzac</w:t>
      </w:r>
      <w:r w:rsidR="00742513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ionare.</w:t>
      </w:r>
    </w:p>
    <w:p w14:paraId="495EC163" w14:textId="1BFD7011" w:rsidR="00EA4C3B" w:rsidRPr="002202F9" w:rsidRDefault="00EA4C3B" w:rsidP="00C961E0">
      <w:pPr>
        <w:pStyle w:val="ListParagraph"/>
        <w:numPr>
          <w:ilvl w:val="1"/>
          <w:numId w:val="27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Participan</w:t>
      </w:r>
      <w:r w:rsidR="00742513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ii sunt obliga</w:t>
      </w:r>
      <w:r w:rsidR="00742513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 s</w:t>
      </w:r>
      <w:r w:rsidR="00742513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depun</w:t>
      </w:r>
      <w:r w:rsidR="00742513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742513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s</w:t>
      </w:r>
      <w:r w:rsidR="00742513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men</w:t>
      </w:r>
      <w:r w:rsidR="00742513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in</w:t>
      </w:r>
      <w:r w:rsidR="00742513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continuu garan</w:t>
      </w:r>
      <w:r w:rsidR="00742513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ii suficiente </w:t>
      </w:r>
      <w:r w:rsidR="00742513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vederea asigur</w:t>
      </w:r>
      <w:r w:rsidR="00742513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>rii decont</w:t>
      </w:r>
      <w:r w:rsidR="00742513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>rii obliga</w:t>
      </w:r>
      <w:r w:rsidR="00ED6179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iilor de plat</w:t>
      </w:r>
      <w:r w:rsidR="00742513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c</w:t>
      </w:r>
      <w:r w:rsidR="00742513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>tre BRM</w:t>
      </w:r>
      <w:r w:rsidR="00742513">
        <w:rPr>
          <w:rFonts w:ascii="Times New Roman" w:hAnsi="Times New Roman" w:cs="Times New Roman"/>
          <w:sz w:val="24"/>
          <w:szCs w:val="24"/>
        </w:rPr>
        <w:t>,</w:t>
      </w:r>
      <w:r w:rsidRPr="002202F9">
        <w:rPr>
          <w:rFonts w:ascii="Times New Roman" w:hAnsi="Times New Roman" w:cs="Times New Roman"/>
          <w:sz w:val="24"/>
          <w:szCs w:val="24"/>
        </w:rPr>
        <w:t xml:space="preserve"> at</w:t>
      </w:r>
      <w:r w:rsidR="00742513">
        <w:rPr>
          <w:rFonts w:ascii="Times New Roman" w:hAnsi="Times New Roman" w:cs="Times New Roman"/>
          <w:sz w:val="24"/>
          <w:szCs w:val="24"/>
        </w:rPr>
        <w:t>â</w:t>
      </w:r>
      <w:r w:rsidRPr="002202F9">
        <w:rPr>
          <w:rFonts w:ascii="Times New Roman" w:hAnsi="Times New Roman" w:cs="Times New Roman"/>
          <w:sz w:val="24"/>
          <w:szCs w:val="24"/>
        </w:rPr>
        <w:t>t din zilele anterioare c</w:t>
      </w:r>
      <w:r w:rsidR="00742513">
        <w:rPr>
          <w:rFonts w:ascii="Times New Roman" w:hAnsi="Times New Roman" w:cs="Times New Roman"/>
          <w:sz w:val="24"/>
          <w:szCs w:val="24"/>
        </w:rPr>
        <w:t>â</w:t>
      </w:r>
      <w:r w:rsidRPr="002202F9">
        <w:rPr>
          <w:rFonts w:ascii="Times New Roman" w:hAnsi="Times New Roman" w:cs="Times New Roman"/>
          <w:sz w:val="24"/>
          <w:szCs w:val="24"/>
        </w:rPr>
        <w:t xml:space="preserve">t </w:t>
      </w:r>
      <w:r w:rsidR="00742513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cele din ziua curent</w:t>
      </w:r>
      <w:r w:rsidR="00742513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742513">
        <w:rPr>
          <w:rFonts w:ascii="Times New Roman" w:hAnsi="Times New Roman" w:cs="Times New Roman"/>
          <w:sz w:val="24"/>
          <w:szCs w:val="24"/>
        </w:rPr>
        <w:t>precum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742513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 xml:space="preserve">i </w:t>
      </w:r>
      <w:r w:rsidR="00742513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vederea ini</w:t>
      </w:r>
      <w:r w:rsidR="00742513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ierii de noi tranzac</w:t>
      </w:r>
      <w:r w:rsidR="00742513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ii. </w:t>
      </w:r>
    </w:p>
    <w:p w14:paraId="532DD1F9" w14:textId="64C0FD23" w:rsidR="00EA4C3B" w:rsidRPr="002202F9" w:rsidRDefault="00EA4C3B" w:rsidP="00C961E0">
      <w:pPr>
        <w:pStyle w:val="ListParagraph"/>
        <w:numPr>
          <w:ilvl w:val="1"/>
          <w:numId w:val="27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Garan</w:t>
      </w:r>
      <w:r w:rsidR="00742513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ia este necesar</w:t>
      </w:r>
      <w:r w:rsidR="00742513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pentru acoperirea tranzac</w:t>
      </w:r>
      <w:r w:rsidR="00742513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iilor </w:t>
      </w:r>
      <w:r w:rsidR="00742513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ncheiate sau ini</w:t>
      </w:r>
      <w:r w:rsidR="00742513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ia</w:t>
      </w:r>
      <w:r w:rsidR="00742513">
        <w:rPr>
          <w:rFonts w:ascii="Times New Roman" w:hAnsi="Times New Roman" w:cs="Times New Roman"/>
          <w:sz w:val="24"/>
          <w:szCs w:val="24"/>
        </w:rPr>
        <w:t>t</w:t>
      </w:r>
      <w:r w:rsidRPr="002202F9">
        <w:rPr>
          <w:rFonts w:ascii="Times New Roman" w:hAnsi="Times New Roman" w:cs="Times New Roman"/>
          <w:sz w:val="24"/>
          <w:szCs w:val="24"/>
        </w:rPr>
        <w:t>e de cump</w:t>
      </w:r>
      <w:r w:rsidR="00742513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>rare la pre</w:t>
      </w:r>
      <w:r w:rsidR="00742513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uri pozitive </w:t>
      </w:r>
      <w:r w:rsidR="00742513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de v</w:t>
      </w:r>
      <w:r w:rsidR="00742513">
        <w:rPr>
          <w:rFonts w:ascii="Times New Roman" w:hAnsi="Times New Roman" w:cs="Times New Roman"/>
          <w:sz w:val="24"/>
          <w:szCs w:val="24"/>
        </w:rPr>
        <w:t>â</w:t>
      </w:r>
      <w:r w:rsidRPr="002202F9">
        <w:rPr>
          <w:rFonts w:ascii="Times New Roman" w:hAnsi="Times New Roman" w:cs="Times New Roman"/>
          <w:sz w:val="24"/>
          <w:szCs w:val="24"/>
        </w:rPr>
        <w:t>nzare la pre</w:t>
      </w:r>
      <w:r w:rsidR="00742513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uri negative, inclusiv TVA, unde este aplicabil.</w:t>
      </w:r>
    </w:p>
    <w:p w14:paraId="1FDD2396" w14:textId="5ABC140F" w:rsidR="00EA4C3B" w:rsidRPr="002202F9" w:rsidRDefault="00EA4C3B" w:rsidP="00C961E0">
      <w:pPr>
        <w:pStyle w:val="ListParagraph"/>
        <w:numPr>
          <w:ilvl w:val="1"/>
          <w:numId w:val="27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În vederea garantării tranzacțiilor sunt permise următoarele tipuri de garanții : </w:t>
      </w:r>
    </w:p>
    <w:p w14:paraId="01AAFB13" w14:textId="77777777" w:rsidR="00EA4C3B" w:rsidRPr="002202F9" w:rsidRDefault="00EA4C3B" w:rsidP="00C961E0">
      <w:pPr>
        <w:pStyle w:val="ListParagraph"/>
        <w:numPr>
          <w:ilvl w:val="0"/>
          <w:numId w:val="40"/>
        </w:numPr>
        <w:spacing w:line="36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Fonduri bănești </w:t>
      </w:r>
    </w:p>
    <w:p w14:paraId="176EC99E" w14:textId="77777777" w:rsidR="00EA4C3B" w:rsidRPr="002202F9" w:rsidRDefault="00EA4C3B" w:rsidP="00C961E0">
      <w:pPr>
        <w:pStyle w:val="ListParagraph"/>
        <w:numPr>
          <w:ilvl w:val="0"/>
          <w:numId w:val="40"/>
        </w:numPr>
        <w:spacing w:line="36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Scrisoare de garanție bancară (SGB)</w:t>
      </w:r>
    </w:p>
    <w:p w14:paraId="10397158" w14:textId="77777777" w:rsidR="00EA4C3B" w:rsidRPr="002202F9" w:rsidRDefault="00EA4C3B" w:rsidP="00C961E0">
      <w:pPr>
        <w:pStyle w:val="ListParagraph"/>
        <w:numPr>
          <w:ilvl w:val="0"/>
          <w:numId w:val="40"/>
        </w:numPr>
        <w:spacing w:line="360" w:lineRule="auto"/>
        <w:ind w:left="1350" w:hanging="630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Cont escrow</w:t>
      </w:r>
    </w:p>
    <w:p w14:paraId="06BDF744" w14:textId="7C5A7650" w:rsidR="00EA4C3B" w:rsidRPr="00AF35CF" w:rsidRDefault="00742513" w:rsidP="00C961E0">
      <w:pPr>
        <w:pStyle w:val="ListParagraph"/>
        <w:numPr>
          <w:ilvl w:val="1"/>
          <w:numId w:val="27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AF35CF">
        <w:rPr>
          <w:rFonts w:ascii="Times New Roman" w:hAnsi="Times New Roman" w:cs="Times New Roman"/>
          <w:sz w:val="24"/>
          <w:szCs w:val="24"/>
        </w:rPr>
        <w:t>Î</w:t>
      </w:r>
      <w:r w:rsidR="00EA4C3B" w:rsidRPr="00AF35CF">
        <w:rPr>
          <w:rFonts w:ascii="Times New Roman" w:hAnsi="Times New Roman" w:cs="Times New Roman"/>
          <w:sz w:val="24"/>
          <w:szCs w:val="24"/>
        </w:rPr>
        <w:t>n vederea decont</w:t>
      </w:r>
      <w:r w:rsidRPr="00AF35CF">
        <w:rPr>
          <w:rFonts w:ascii="Times New Roman" w:hAnsi="Times New Roman" w:cs="Times New Roman"/>
          <w:sz w:val="24"/>
          <w:szCs w:val="24"/>
        </w:rPr>
        <w:t>ă</w:t>
      </w:r>
      <w:r w:rsidR="00EA4C3B" w:rsidRPr="00AF35CF">
        <w:rPr>
          <w:rFonts w:ascii="Times New Roman" w:hAnsi="Times New Roman" w:cs="Times New Roman"/>
          <w:sz w:val="24"/>
          <w:szCs w:val="24"/>
        </w:rPr>
        <w:t>rii tranzac</w:t>
      </w:r>
      <w:r w:rsidRPr="00AF35CF">
        <w:rPr>
          <w:rFonts w:ascii="Times New Roman" w:hAnsi="Times New Roman" w:cs="Times New Roman"/>
          <w:sz w:val="24"/>
          <w:szCs w:val="24"/>
        </w:rPr>
        <w:t>ţ</w:t>
      </w:r>
      <w:r w:rsidR="00EA4C3B" w:rsidRPr="00AF35CF">
        <w:rPr>
          <w:rFonts w:ascii="Times New Roman" w:hAnsi="Times New Roman" w:cs="Times New Roman"/>
          <w:sz w:val="24"/>
          <w:szCs w:val="24"/>
        </w:rPr>
        <w:t>iilor este obligat</w:t>
      </w:r>
      <w:r w:rsidRPr="00AF35CF">
        <w:rPr>
          <w:rFonts w:ascii="Times New Roman" w:hAnsi="Times New Roman" w:cs="Times New Roman"/>
          <w:sz w:val="24"/>
          <w:szCs w:val="24"/>
        </w:rPr>
        <w:t xml:space="preserve">oriu </w:t>
      </w:r>
      <w:r w:rsidR="00EA4C3B" w:rsidRPr="00AF35CF">
        <w:rPr>
          <w:rFonts w:ascii="Times New Roman" w:hAnsi="Times New Roman" w:cs="Times New Roman"/>
          <w:sz w:val="24"/>
          <w:szCs w:val="24"/>
        </w:rPr>
        <w:t>men</w:t>
      </w:r>
      <w:r w:rsidRPr="00AF35CF">
        <w:rPr>
          <w:rFonts w:ascii="Times New Roman" w:hAnsi="Times New Roman" w:cs="Times New Roman"/>
          <w:sz w:val="24"/>
          <w:szCs w:val="24"/>
        </w:rPr>
        <w:t>ţ</w:t>
      </w:r>
      <w:r w:rsidR="00EA4C3B" w:rsidRPr="00AF35CF">
        <w:rPr>
          <w:rFonts w:ascii="Times New Roman" w:hAnsi="Times New Roman" w:cs="Times New Roman"/>
          <w:sz w:val="24"/>
          <w:szCs w:val="24"/>
        </w:rPr>
        <w:t>inerea unei structur</w:t>
      </w:r>
      <w:r w:rsidRPr="00AF35CF">
        <w:rPr>
          <w:rFonts w:ascii="Times New Roman" w:hAnsi="Times New Roman" w:cs="Times New Roman"/>
          <w:sz w:val="24"/>
          <w:szCs w:val="24"/>
        </w:rPr>
        <w:t>i</w:t>
      </w:r>
      <w:r w:rsidR="00EA4C3B" w:rsidRPr="00AF35CF">
        <w:rPr>
          <w:rFonts w:ascii="Times New Roman" w:hAnsi="Times New Roman" w:cs="Times New Roman"/>
          <w:sz w:val="24"/>
          <w:szCs w:val="24"/>
        </w:rPr>
        <w:t xml:space="preserve">  de garan</w:t>
      </w:r>
      <w:r w:rsidRPr="00AF35CF">
        <w:rPr>
          <w:rFonts w:ascii="Times New Roman" w:hAnsi="Times New Roman" w:cs="Times New Roman"/>
          <w:sz w:val="24"/>
          <w:szCs w:val="24"/>
        </w:rPr>
        <w:t>ţ</w:t>
      </w:r>
      <w:r w:rsidR="00EA4C3B" w:rsidRPr="00AF35CF">
        <w:rPr>
          <w:rFonts w:ascii="Times New Roman" w:hAnsi="Times New Roman" w:cs="Times New Roman"/>
          <w:sz w:val="24"/>
          <w:szCs w:val="24"/>
        </w:rPr>
        <w:t>ii care s</w:t>
      </w:r>
      <w:r w:rsidRPr="00AF35CF">
        <w:rPr>
          <w:rFonts w:ascii="Times New Roman" w:hAnsi="Times New Roman" w:cs="Times New Roman"/>
          <w:sz w:val="24"/>
          <w:szCs w:val="24"/>
        </w:rPr>
        <w:t>ă</w:t>
      </w:r>
      <w:r w:rsidR="00EA4C3B" w:rsidRPr="00AF35CF">
        <w:rPr>
          <w:rFonts w:ascii="Times New Roman" w:hAnsi="Times New Roman" w:cs="Times New Roman"/>
          <w:sz w:val="24"/>
          <w:szCs w:val="24"/>
        </w:rPr>
        <w:t xml:space="preserve"> asigure decontarea rapid</w:t>
      </w:r>
      <w:r w:rsidRPr="00AF35CF">
        <w:rPr>
          <w:rFonts w:ascii="Times New Roman" w:hAnsi="Times New Roman" w:cs="Times New Roman"/>
          <w:sz w:val="24"/>
          <w:szCs w:val="24"/>
        </w:rPr>
        <w:t>ă</w:t>
      </w:r>
      <w:r w:rsidR="00EA4C3B" w:rsidRPr="00AF35CF">
        <w:rPr>
          <w:rFonts w:ascii="Times New Roman" w:hAnsi="Times New Roman" w:cs="Times New Roman"/>
          <w:sz w:val="24"/>
          <w:szCs w:val="24"/>
        </w:rPr>
        <w:t xml:space="preserve"> </w:t>
      </w:r>
      <w:r w:rsidRPr="00AF35CF">
        <w:rPr>
          <w:rFonts w:ascii="Times New Roman" w:hAnsi="Times New Roman" w:cs="Times New Roman"/>
          <w:sz w:val="24"/>
          <w:szCs w:val="24"/>
        </w:rPr>
        <w:t>ş</w:t>
      </w:r>
      <w:r w:rsidR="00EA4C3B" w:rsidRPr="00AF35CF">
        <w:rPr>
          <w:rFonts w:ascii="Times New Roman" w:hAnsi="Times New Roman" w:cs="Times New Roman"/>
          <w:sz w:val="24"/>
          <w:szCs w:val="24"/>
        </w:rPr>
        <w:t>i eficient</w:t>
      </w:r>
      <w:r w:rsidRPr="00AF35CF">
        <w:rPr>
          <w:rFonts w:ascii="Times New Roman" w:hAnsi="Times New Roman" w:cs="Times New Roman"/>
          <w:sz w:val="24"/>
          <w:szCs w:val="24"/>
        </w:rPr>
        <w:t>ă</w:t>
      </w:r>
      <w:r w:rsidR="00EA4C3B" w:rsidRPr="00AF35CF">
        <w:rPr>
          <w:rFonts w:ascii="Times New Roman" w:hAnsi="Times New Roman" w:cs="Times New Roman"/>
          <w:sz w:val="24"/>
          <w:szCs w:val="24"/>
        </w:rPr>
        <w:t xml:space="preserve"> a obliga</w:t>
      </w:r>
      <w:r w:rsidRPr="00AF35CF">
        <w:rPr>
          <w:rFonts w:ascii="Times New Roman" w:hAnsi="Times New Roman" w:cs="Times New Roman"/>
          <w:sz w:val="24"/>
          <w:szCs w:val="24"/>
        </w:rPr>
        <w:t>ţ</w:t>
      </w:r>
      <w:r w:rsidR="00EA4C3B" w:rsidRPr="00AF35CF">
        <w:rPr>
          <w:rFonts w:ascii="Times New Roman" w:hAnsi="Times New Roman" w:cs="Times New Roman"/>
          <w:sz w:val="24"/>
          <w:szCs w:val="24"/>
        </w:rPr>
        <w:t xml:space="preserve">iilor, inclusiv </w:t>
      </w:r>
      <w:r w:rsidRPr="00AF35CF">
        <w:rPr>
          <w:rFonts w:ascii="Times New Roman" w:hAnsi="Times New Roman" w:cs="Times New Roman"/>
          <w:sz w:val="24"/>
          <w:szCs w:val="24"/>
        </w:rPr>
        <w:t>î</w:t>
      </w:r>
      <w:r w:rsidR="00EA4C3B" w:rsidRPr="00AF35CF">
        <w:rPr>
          <w:rFonts w:ascii="Times New Roman" w:hAnsi="Times New Roman" w:cs="Times New Roman"/>
          <w:sz w:val="24"/>
          <w:szCs w:val="24"/>
        </w:rPr>
        <w:t>n caz de refuz a un</w:t>
      </w:r>
      <w:r w:rsidRPr="00AF35CF">
        <w:rPr>
          <w:rFonts w:ascii="Times New Roman" w:hAnsi="Times New Roman" w:cs="Times New Roman"/>
          <w:sz w:val="24"/>
          <w:szCs w:val="24"/>
        </w:rPr>
        <w:t>ei</w:t>
      </w:r>
      <w:r w:rsidR="00EA4C3B" w:rsidRPr="00AF35CF">
        <w:rPr>
          <w:rFonts w:ascii="Times New Roman" w:hAnsi="Times New Roman" w:cs="Times New Roman"/>
          <w:sz w:val="24"/>
          <w:szCs w:val="24"/>
        </w:rPr>
        <w:t xml:space="preserve"> IDD, cu o pondere a fondurilor b</w:t>
      </w:r>
      <w:r w:rsidRPr="00AF35CF">
        <w:rPr>
          <w:rFonts w:ascii="Times New Roman" w:hAnsi="Times New Roman" w:cs="Times New Roman"/>
          <w:sz w:val="24"/>
          <w:szCs w:val="24"/>
        </w:rPr>
        <w:t>ă</w:t>
      </w:r>
      <w:r w:rsidR="00EA4C3B" w:rsidRPr="00AF35CF">
        <w:rPr>
          <w:rFonts w:ascii="Times New Roman" w:hAnsi="Times New Roman" w:cs="Times New Roman"/>
          <w:sz w:val="24"/>
          <w:szCs w:val="24"/>
        </w:rPr>
        <w:t>ne</w:t>
      </w:r>
      <w:r w:rsidRPr="00AF35CF">
        <w:rPr>
          <w:rFonts w:ascii="Times New Roman" w:hAnsi="Times New Roman" w:cs="Times New Roman"/>
          <w:sz w:val="24"/>
          <w:szCs w:val="24"/>
        </w:rPr>
        <w:t>ş</w:t>
      </w:r>
      <w:r w:rsidR="00EA4C3B" w:rsidRPr="00AF35CF">
        <w:rPr>
          <w:rFonts w:ascii="Times New Roman" w:hAnsi="Times New Roman" w:cs="Times New Roman"/>
          <w:sz w:val="24"/>
          <w:szCs w:val="24"/>
        </w:rPr>
        <w:t>ti corelat</w:t>
      </w:r>
      <w:r w:rsidRPr="00AF35CF">
        <w:rPr>
          <w:rFonts w:ascii="Times New Roman" w:hAnsi="Times New Roman" w:cs="Times New Roman"/>
          <w:sz w:val="24"/>
          <w:szCs w:val="24"/>
        </w:rPr>
        <w:t>ă</w:t>
      </w:r>
      <w:r w:rsidR="00EA4C3B" w:rsidRPr="00AF35CF">
        <w:rPr>
          <w:rFonts w:ascii="Times New Roman" w:hAnsi="Times New Roman" w:cs="Times New Roman"/>
          <w:sz w:val="24"/>
          <w:szCs w:val="24"/>
        </w:rPr>
        <w:t xml:space="preserve"> cu activitatea de tranzac</w:t>
      </w:r>
      <w:r w:rsidRPr="00AF35CF">
        <w:rPr>
          <w:rFonts w:ascii="Times New Roman" w:hAnsi="Times New Roman" w:cs="Times New Roman"/>
          <w:sz w:val="24"/>
          <w:szCs w:val="24"/>
        </w:rPr>
        <w:t>ţ</w:t>
      </w:r>
      <w:r w:rsidR="00EA4C3B" w:rsidRPr="00AF35CF">
        <w:rPr>
          <w:rFonts w:ascii="Times New Roman" w:hAnsi="Times New Roman" w:cs="Times New Roman"/>
          <w:sz w:val="24"/>
          <w:szCs w:val="24"/>
        </w:rPr>
        <w:t>ionare a Participantului.</w:t>
      </w:r>
    </w:p>
    <w:p w14:paraId="40C3AB51" w14:textId="46E6A933" w:rsidR="00EA4C3B" w:rsidRPr="002202F9" w:rsidRDefault="00EA4C3B" w:rsidP="00C961E0">
      <w:pPr>
        <w:pStyle w:val="ListParagraph"/>
        <w:numPr>
          <w:ilvl w:val="1"/>
          <w:numId w:val="27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În cazul în care se optează pentru depunerea de garanții din fonduri bănești, acestea sunt  valabile din momentul în care acestea sunt vizibile în contul de garan</w:t>
      </w:r>
      <w:r w:rsidR="00742513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ii deschis de BRM la Banca de </w:t>
      </w:r>
      <w:r w:rsidR="00D52A12">
        <w:rPr>
          <w:rFonts w:ascii="Times New Roman" w:hAnsi="Times New Roman" w:cs="Times New Roman"/>
          <w:sz w:val="24"/>
          <w:szCs w:val="24"/>
        </w:rPr>
        <w:t>c</w:t>
      </w:r>
      <w:r w:rsidRPr="002202F9">
        <w:rPr>
          <w:rFonts w:ascii="Times New Roman" w:hAnsi="Times New Roman" w:cs="Times New Roman"/>
          <w:sz w:val="24"/>
          <w:szCs w:val="24"/>
        </w:rPr>
        <w:t xml:space="preserve">ont </w:t>
      </w:r>
      <w:r w:rsidR="00D52A12">
        <w:rPr>
          <w:rFonts w:ascii="Times New Roman" w:hAnsi="Times New Roman" w:cs="Times New Roman"/>
          <w:sz w:val="24"/>
          <w:szCs w:val="24"/>
        </w:rPr>
        <w:t>c</w:t>
      </w:r>
      <w:r w:rsidRPr="002202F9">
        <w:rPr>
          <w:rFonts w:ascii="Times New Roman" w:hAnsi="Times New Roman" w:cs="Times New Roman"/>
          <w:sz w:val="24"/>
          <w:szCs w:val="24"/>
        </w:rPr>
        <w:t>entral.</w:t>
      </w:r>
    </w:p>
    <w:p w14:paraId="2D90246F" w14:textId="1BBB9576" w:rsidR="00EA4C3B" w:rsidRPr="002202F9" w:rsidRDefault="00EA4C3B" w:rsidP="00C961E0">
      <w:pPr>
        <w:pStyle w:val="ListParagraph"/>
        <w:numPr>
          <w:ilvl w:val="1"/>
          <w:numId w:val="27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În cazul în care se optează pentru constituirea de garanții prin intermediul unei scrisori de garanție bancară, aceasta se emite pe baza modelului pus la dispozitie Participan</w:t>
      </w:r>
      <w:r w:rsidR="00625420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ilor de BRM; garan</w:t>
      </w:r>
      <w:r w:rsidR="00742513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ia devine valabil</w:t>
      </w:r>
      <w:r w:rsidR="00742513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din momentul în care se transmite prin mesaj SWIFT din partea Băncii de Cont Central c</w:t>
      </w:r>
      <w:r w:rsidR="00742513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>tre BRM sau se depune în format fizic la BRM.</w:t>
      </w:r>
    </w:p>
    <w:p w14:paraId="0DD28048" w14:textId="1DCCF5D5" w:rsidR="00EA4C3B" w:rsidRPr="002202F9" w:rsidRDefault="00EA4C3B" w:rsidP="00C961E0">
      <w:pPr>
        <w:pStyle w:val="ListParagraph"/>
        <w:numPr>
          <w:ilvl w:val="1"/>
          <w:numId w:val="27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lastRenderedPageBreak/>
        <w:t xml:space="preserve">În cazul în care se optează </w:t>
      </w:r>
      <w:r w:rsidR="00742513">
        <w:rPr>
          <w:rFonts w:ascii="Times New Roman" w:hAnsi="Times New Roman" w:cs="Times New Roman"/>
          <w:sz w:val="24"/>
          <w:szCs w:val="24"/>
        </w:rPr>
        <w:t xml:space="preserve">pentru </w:t>
      </w:r>
      <w:r w:rsidRPr="002202F9">
        <w:rPr>
          <w:rFonts w:ascii="Times New Roman" w:hAnsi="Times New Roman" w:cs="Times New Roman"/>
          <w:sz w:val="24"/>
          <w:szCs w:val="24"/>
        </w:rPr>
        <w:t>constituirea necesarul</w:t>
      </w:r>
      <w:r w:rsidR="00742513">
        <w:rPr>
          <w:rFonts w:ascii="Times New Roman" w:hAnsi="Times New Roman" w:cs="Times New Roman"/>
          <w:sz w:val="24"/>
          <w:szCs w:val="24"/>
        </w:rPr>
        <w:t>ui</w:t>
      </w:r>
      <w:r w:rsidRPr="002202F9">
        <w:rPr>
          <w:rFonts w:ascii="Times New Roman" w:hAnsi="Times New Roman" w:cs="Times New Roman"/>
          <w:sz w:val="24"/>
          <w:szCs w:val="24"/>
        </w:rPr>
        <w:t xml:space="preserve"> de garanții prin deschiderea unui cont Escrow</w:t>
      </w:r>
      <w:r w:rsidR="00742513">
        <w:rPr>
          <w:rFonts w:ascii="Times New Roman" w:hAnsi="Times New Roman" w:cs="Times New Roman"/>
          <w:sz w:val="24"/>
          <w:szCs w:val="24"/>
        </w:rPr>
        <w:t>,</w:t>
      </w:r>
      <w:r w:rsidRPr="002202F9">
        <w:rPr>
          <w:rFonts w:ascii="Times New Roman" w:hAnsi="Times New Roman" w:cs="Times New Roman"/>
          <w:sz w:val="24"/>
          <w:szCs w:val="24"/>
        </w:rPr>
        <w:t xml:space="preserve"> se va util</w:t>
      </w:r>
      <w:r w:rsidR="00742513">
        <w:rPr>
          <w:rFonts w:ascii="Times New Roman" w:hAnsi="Times New Roman" w:cs="Times New Roman"/>
          <w:sz w:val="24"/>
          <w:szCs w:val="24"/>
        </w:rPr>
        <w:t>i</w:t>
      </w:r>
      <w:r w:rsidRPr="002202F9">
        <w:rPr>
          <w:rFonts w:ascii="Times New Roman" w:hAnsi="Times New Roman" w:cs="Times New Roman"/>
          <w:sz w:val="24"/>
          <w:szCs w:val="24"/>
        </w:rPr>
        <w:t>za modelul de contract escrow,</w:t>
      </w:r>
      <w:r w:rsidR="00742513">
        <w:rPr>
          <w:rFonts w:ascii="Times New Roman" w:hAnsi="Times New Roman" w:cs="Times New Roman"/>
          <w:sz w:val="24"/>
          <w:szCs w:val="24"/>
        </w:rPr>
        <w:t xml:space="preserve"> pus</w:t>
      </w:r>
      <w:r w:rsidRPr="002202F9">
        <w:rPr>
          <w:rFonts w:ascii="Times New Roman" w:hAnsi="Times New Roman" w:cs="Times New Roman"/>
          <w:sz w:val="24"/>
          <w:szCs w:val="24"/>
        </w:rPr>
        <w:t xml:space="preserve"> la dispozitie Participan</w:t>
      </w:r>
      <w:r w:rsidR="00625420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ilor de </w:t>
      </w:r>
      <w:r w:rsidR="00644611">
        <w:rPr>
          <w:rFonts w:ascii="Times New Roman" w:hAnsi="Times New Roman" w:cs="Times New Roman"/>
          <w:sz w:val="24"/>
          <w:szCs w:val="24"/>
        </w:rPr>
        <w:t xml:space="preserve">către </w:t>
      </w:r>
      <w:r w:rsidRPr="002202F9">
        <w:rPr>
          <w:rFonts w:ascii="Times New Roman" w:hAnsi="Times New Roman" w:cs="Times New Roman"/>
          <w:sz w:val="24"/>
          <w:szCs w:val="24"/>
        </w:rPr>
        <w:t xml:space="preserve">BRM </w:t>
      </w:r>
      <w:r w:rsidR="00644611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rela</w:t>
      </w:r>
      <w:r w:rsidR="00644611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ie cu Banca de </w:t>
      </w:r>
      <w:r w:rsidR="00D52A12">
        <w:rPr>
          <w:rFonts w:ascii="Times New Roman" w:hAnsi="Times New Roman" w:cs="Times New Roman"/>
          <w:sz w:val="24"/>
          <w:szCs w:val="24"/>
        </w:rPr>
        <w:t>c</w:t>
      </w:r>
      <w:r w:rsidRPr="002202F9">
        <w:rPr>
          <w:rFonts w:ascii="Times New Roman" w:hAnsi="Times New Roman" w:cs="Times New Roman"/>
          <w:sz w:val="24"/>
          <w:szCs w:val="24"/>
        </w:rPr>
        <w:t xml:space="preserve">ont </w:t>
      </w:r>
      <w:r w:rsidR="00D52A12">
        <w:rPr>
          <w:rFonts w:ascii="Times New Roman" w:hAnsi="Times New Roman" w:cs="Times New Roman"/>
          <w:sz w:val="24"/>
          <w:szCs w:val="24"/>
        </w:rPr>
        <w:t>c</w:t>
      </w:r>
      <w:r w:rsidRPr="002202F9">
        <w:rPr>
          <w:rFonts w:ascii="Times New Roman" w:hAnsi="Times New Roman" w:cs="Times New Roman"/>
          <w:sz w:val="24"/>
          <w:szCs w:val="24"/>
        </w:rPr>
        <w:t>entral; garanția devine valabil</w:t>
      </w:r>
      <w:r w:rsidR="00644611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în momentul în care documentul este semnat </w:t>
      </w:r>
      <w:r w:rsidR="00644611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prelabil de către Participant, Banca de cont central și BRM, în această ordine.</w:t>
      </w:r>
    </w:p>
    <w:p w14:paraId="5F900858" w14:textId="5DC615F7" w:rsidR="00EA4C3B" w:rsidRPr="002202F9" w:rsidRDefault="00644611" w:rsidP="00C961E0">
      <w:pPr>
        <w:pStyle w:val="ListParagraph"/>
        <w:numPr>
          <w:ilvl w:val="1"/>
          <w:numId w:val="27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Î</w:t>
      </w:r>
      <w:r w:rsidR="00EA4C3B" w:rsidRPr="002202F9">
        <w:rPr>
          <w:rFonts w:ascii="Times New Roman" w:hAnsi="Times New Roman" w:cs="Times New Roman"/>
          <w:sz w:val="24"/>
          <w:szCs w:val="24"/>
        </w:rPr>
        <w:t>n m</w:t>
      </w:r>
      <w:r>
        <w:rPr>
          <w:rFonts w:ascii="Times New Roman" w:hAnsi="Times New Roman" w:cs="Times New Roman"/>
          <w:sz w:val="24"/>
          <w:szCs w:val="24"/>
        </w:rPr>
        <w:t>ă</w:t>
      </w:r>
      <w:r w:rsidR="00EA4C3B" w:rsidRPr="002202F9">
        <w:rPr>
          <w:rFonts w:ascii="Times New Roman" w:hAnsi="Times New Roman" w:cs="Times New Roman"/>
          <w:sz w:val="24"/>
          <w:szCs w:val="24"/>
        </w:rPr>
        <w:t xml:space="preserve">sura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EA4C3B" w:rsidRPr="002202F9">
        <w:rPr>
          <w:rFonts w:ascii="Times New Roman" w:hAnsi="Times New Roman" w:cs="Times New Roman"/>
          <w:sz w:val="24"/>
          <w:szCs w:val="24"/>
        </w:rPr>
        <w:t>n care un Participant are alocate garan</w:t>
      </w:r>
      <w:r>
        <w:rPr>
          <w:rFonts w:ascii="Times New Roman" w:hAnsi="Times New Roman" w:cs="Times New Roman"/>
          <w:sz w:val="24"/>
          <w:szCs w:val="24"/>
        </w:rPr>
        <w:t>ţ</w:t>
      </w:r>
      <w:r w:rsidR="00EA4C3B" w:rsidRPr="002202F9">
        <w:rPr>
          <w:rFonts w:ascii="Times New Roman" w:hAnsi="Times New Roman" w:cs="Times New Roman"/>
          <w:sz w:val="24"/>
          <w:szCs w:val="24"/>
        </w:rPr>
        <w:t>ii pe pie</w:t>
      </w:r>
      <w:r>
        <w:rPr>
          <w:rFonts w:ascii="Times New Roman" w:hAnsi="Times New Roman" w:cs="Times New Roman"/>
          <w:sz w:val="24"/>
          <w:szCs w:val="24"/>
        </w:rPr>
        <w:t>ţ</w:t>
      </w:r>
      <w:r w:rsidR="00EA4C3B" w:rsidRPr="002202F9">
        <w:rPr>
          <w:rFonts w:ascii="Times New Roman" w:hAnsi="Times New Roman" w:cs="Times New Roman"/>
          <w:sz w:val="24"/>
          <w:szCs w:val="24"/>
        </w:rPr>
        <w:t xml:space="preserve">ele de energie administrate de BRM confom </w:t>
      </w:r>
      <w:r w:rsidR="00EA4C3B" w:rsidRPr="00644611">
        <w:rPr>
          <w:rFonts w:ascii="Times New Roman" w:hAnsi="Times New Roman" w:cs="Times New Roman"/>
          <w:i/>
          <w:iCs/>
          <w:sz w:val="24"/>
          <w:szCs w:val="24"/>
        </w:rPr>
        <w:t>Conven</w:t>
      </w:r>
      <w:r w:rsidRPr="00644611">
        <w:rPr>
          <w:rFonts w:ascii="Times New Roman" w:hAnsi="Times New Roman" w:cs="Times New Roman"/>
          <w:i/>
          <w:iCs/>
          <w:sz w:val="24"/>
          <w:szCs w:val="24"/>
        </w:rPr>
        <w:t>ţ</w:t>
      </w:r>
      <w:r w:rsidR="00EA4C3B" w:rsidRPr="00644611">
        <w:rPr>
          <w:rFonts w:ascii="Times New Roman" w:hAnsi="Times New Roman" w:cs="Times New Roman"/>
          <w:i/>
          <w:iCs/>
          <w:sz w:val="24"/>
          <w:szCs w:val="24"/>
        </w:rPr>
        <w:t>iei de Participare</w:t>
      </w:r>
      <w:r>
        <w:rPr>
          <w:rFonts w:ascii="Times New Roman" w:hAnsi="Times New Roman" w:cs="Times New Roman"/>
          <w:sz w:val="24"/>
          <w:szCs w:val="24"/>
        </w:rPr>
        <w:t>,</w:t>
      </w:r>
      <w:r w:rsidR="00EA4C3B" w:rsidRPr="002202F9">
        <w:rPr>
          <w:rFonts w:ascii="Times New Roman" w:hAnsi="Times New Roman" w:cs="Times New Roman"/>
          <w:sz w:val="24"/>
          <w:szCs w:val="24"/>
        </w:rPr>
        <w:t xml:space="preserve"> poate aloca din acestea c</w:t>
      </w:r>
      <w:r>
        <w:rPr>
          <w:rFonts w:ascii="Times New Roman" w:hAnsi="Times New Roman" w:cs="Times New Roman"/>
          <w:sz w:val="24"/>
          <w:szCs w:val="24"/>
        </w:rPr>
        <w:t>ă</w:t>
      </w:r>
      <w:r w:rsidR="00EA4C3B" w:rsidRPr="002202F9">
        <w:rPr>
          <w:rFonts w:ascii="Times New Roman" w:hAnsi="Times New Roman" w:cs="Times New Roman"/>
          <w:sz w:val="24"/>
          <w:szCs w:val="24"/>
        </w:rPr>
        <w:t xml:space="preserve">tre </w:t>
      </w:r>
      <w:r w:rsidR="00743C94">
        <w:rPr>
          <w:rFonts w:ascii="Times New Roman" w:hAnsi="Times New Roman" w:cs="Times New Roman"/>
          <w:sz w:val="24"/>
          <w:szCs w:val="24"/>
        </w:rPr>
        <w:t>PZU</w:t>
      </w:r>
      <w:r w:rsidR="00743C94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EA4C3B" w:rsidRPr="002202F9">
        <w:rPr>
          <w:rFonts w:ascii="Times New Roman" w:hAnsi="Times New Roman" w:cs="Times New Roman"/>
          <w:sz w:val="24"/>
          <w:szCs w:val="24"/>
        </w:rPr>
        <w:t xml:space="preserve">sau viceversa, </w:t>
      </w:r>
      <w:r>
        <w:rPr>
          <w:rFonts w:ascii="Times New Roman" w:hAnsi="Times New Roman" w:cs="Times New Roman"/>
          <w:sz w:val="24"/>
          <w:szCs w:val="24"/>
        </w:rPr>
        <w:t>î</w:t>
      </w:r>
      <w:r w:rsidR="00EA4C3B" w:rsidRPr="002202F9">
        <w:rPr>
          <w:rFonts w:ascii="Times New Roman" w:hAnsi="Times New Roman" w:cs="Times New Roman"/>
          <w:sz w:val="24"/>
          <w:szCs w:val="24"/>
        </w:rPr>
        <w:t>n func</w:t>
      </w:r>
      <w:r>
        <w:rPr>
          <w:rFonts w:ascii="Times New Roman" w:hAnsi="Times New Roman" w:cs="Times New Roman"/>
          <w:sz w:val="24"/>
          <w:szCs w:val="24"/>
        </w:rPr>
        <w:t>ţ</w:t>
      </w:r>
      <w:r w:rsidR="00EA4C3B" w:rsidRPr="002202F9">
        <w:rPr>
          <w:rFonts w:ascii="Times New Roman" w:hAnsi="Times New Roman" w:cs="Times New Roman"/>
          <w:sz w:val="24"/>
          <w:szCs w:val="24"/>
        </w:rPr>
        <w:t xml:space="preserve">ie de diponibilitatea acestora la momentul cererii. </w:t>
      </w:r>
    </w:p>
    <w:p w14:paraId="339D0F08" w14:textId="6B941E87" w:rsidR="00EA4C3B" w:rsidRPr="00AF35CF" w:rsidRDefault="00EA4C3B" w:rsidP="00C961E0">
      <w:pPr>
        <w:pStyle w:val="ListParagraph"/>
        <w:numPr>
          <w:ilvl w:val="1"/>
          <w:numId w:val="27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AF35CF">
        <w:rPr>
          <w:rFonts w:ascii="Times New Roman" w:hAnsi="Times New Roman" w:cs="Times New Roman"/>
          <w:sz w:val="24"/>
          <w:szCs w:val="24"/>
        </w:rPr>
        <w:t xml:space="preserve">Cererea de realocare </w:t>
      </w:r>
      <w:r w:rsidR="00644611" w:rsidRPr="00AF35CF">
        <w:rPr>
          <w:rFonts w:ascii="Times New Roman" w:hAnsi="Times New Roman" w:cs="Times New Roman"/>
          <w:sz w:val="24"/>
          <w:szCs w:val="24"/>
        </w:rPr>
        <w:t xml:space="preserve">a </w:t>
      </w:r>
      <w:r w:rsidRPr="00AF35CF">
        <w:rPr>
          <w:rFonts w:ascii="Times New Roman" w:hAnsi="Times New Roman" w:cs="Times New Roman"/>
          <w:sz w:val="24"/>
          <w:szCs w:val="24"/>
        </w:rPr>
        <w:t>garan</w:t>
      </w:r>
      <w:r w:rsidR="00644611" w:rsidRPr="00AF35CF">
        <w:rPr>
          <w:rFonts w:ascii="Times New Roman" w:hAnsi="Times New Roman" w:cs="Times New Roman"/>
          <w:sz w:val="24"/>
          <w:szCs w:val="24"/>
        </w:rPr>
        <w:t>ţ</w:t>
      </w:r>
      <w:r w:rsidRPr="00AF35CF">
        <w:rPr>
          <w:rFonts w:ascii="Times New Roman" w:hAnsi="Times New Roman" w:cs="Times New Roman"/>
          <w:sz w:val="24"/>
          <w:szCs w:val="24"/>
        </w:rPr>
        <w:t>ii</w:t>
      </w:r>
      <w:r w:rsidR="00644611" w:rsidRPr="00AF35CF">
        <w:rPr>
          <w:rFonts w:ascii="Times New Roman" w:hAnsi="Times New Roman" w:cs="Times New Roman"/>
          <w:sz w:val="24"/>
          <w:szCs w:val="24"/>
        </w:rPr>
        <w:t>lor</w:t>
      </w:r>
      <w:r w:rsidRPr="00AF35CF">
        <w:rPr>
          <w:rFonts w:ascii="Times New Roman" w:hAnsi="Times New Roman" w:cs="Times New Roman"/>
          <w:sz w:val="24"/>
          <w:szCs w:val="24"/>
        </w:rPr>
        <w:t xml:space="preserve"> de la/c</w:t>
      </w:r>
      <w:r w:rsidR="00ED6179" w:rsidRPr="00AF35CF">
        <w:rPr>
          <w:rFonts w:ascii="Times New Roman" w:hAnsi="Times New Roman" w:cs="Times New Roman"/>
          <w:sz w:val="24"/>
          <w:szCs w:val="24"/>
        </w:rPr>
        <w:t>ă</w:t>
      </w:r>
      <w:r w:rsidRPr="00AF35CF">
        <w:rPr>
          <w:rFonts w:ascii="Times New Roman" w:hAnsi="Times New Roman" w:cs="Times New Roman"/>
          <w:sz w:val="24"/>
          <w:szCs w:val="24"/>
        </w:rPr>
        <w:t xml:space="preserve">tre </w:t>
      </w:r>
      <w:r w:rsidR="00743C94">
        <w:rPr>
          <w:rFonts w:ascii="Times New Roman" w:hAnsi="Times New Roman" w:cs="Times New Roman"/>
          <w:sz w:val="24"/>
          <w:szCs w:val="24"/>
        </w:rPr>
        <w:t>PZU</w:t>
      </w:r>
      <w:r w:rsidR="00743C94" w:rsidRPr="00AF35CF">
        <w:rPr>
          <w:rFonts w:ascii="Times New Roman" w:hAnsi="Times New Roman" w:cs="Times New Roman"/>
          <w:sz w:val="24"/>
          <w:szCs w:val="24"/>
        </w:rPr>
        <w:t xml:space="preserve"> </w:t>
      </w:r>
      <w:r w:rsidRPr="00AF35CF">
        <w:rPr>
          <w:rFonts w:ascii="Times New Roman" w:hAnsi="Times New Roman" w:cs="Times New Roman"/>
          <w:sz w:val="24"/>
          <w:szCs w:val="24"/>
        </w:rPr>
        <w:t>se transmite c</w:t>
      </w:r>
      <w:r w:rsidR="00644611" w:rsidRPr="00AF35CF">
        <w:rPr>
          <w:rFonts w:ascii="Times New Roman" w:hAnsi="Times New Roman" w:cs="Times New Roman"/>
          <w:sz w:val="24"/>
          <w:szCs w:val="24"/>
        </w:rPr>
        <w:t>ă</w:t>
      </w:r>
      <w:r w:rsidRPr="00AF35CF">
        <w:rPr>
          <w:rFonts w:ascii="Times New Roman" w:hAnsi="Times New Roman" w:cs="Times New Roman"/>
          <w:sz w:val="24"/>
          <w:szCs w:val="24"/>
        </w:rPr>
        <w:t xml:space="preserve">tre BRM </w:t>
      </w:r>
      <w:r w:rsidR="00AF35CF" w:rsidRPr="00AF35CF">
        <w:rPr>
          <w:rFonts w:ascii="Times New Roman" w:hAnsi="Times New Roman" w:cs="Times New Roman"/>
          <w:sz w:val="24"/>
          <w:szCs w:val="24"/>
        </w:rPr>
        <w:t>pe</w:t>
      </w:r>
      <w:r w:rsidRPr="00AF35CF">
        <w:rPr>
          <w:rFonts w:ascii="Times New Roman" w:hAnsi="Times New Roman" w:cs="Times New Roman"/>
          <w:sz w:val="24"/>
          <w:szCs w:val="24"/>
        </w:rPr>
        <w:t xml:space="preserve"> email sau prin intermediul solu</w:t>
      </w:r>
      <w:r w:rsidR="00ED6179" w:rsidRPr="00AF35CF">
        <w:rPr>
          <w:rFonts w:ascii="Times New Roman" w:hAnsi="Times New Roman" w:cs="Times New Roman"/>
          <w:sz w:val="24"/>
          <w:szCs w:val="24"/>
        </w:rPr>
        <w:t>ţ</w:t>
      </w:r>
      <w:r w:rsidRPr="00AF35CF">
        <w:rPr>
          <w:rFonts w:ascii="Times New Roman" w:hAnsi="Times New Roman" w:cs="Times New Roman"/>
          <w:sz w:val="24"/>
          <w:szCs w:val="24"/>
        </w:rPr>
        <w:t>iei tehnice puse la dispozi</w:t>
      </w:r>
      <w:r w:rsidR="00644611" w:rsidRPr="00AF35CF">
        <w:rPr>
          <w:rFonts w:ascii="Times New Roman" w:hAnsi="Times New Roman" w:cs="Times New Roman"/>
          <w:sz w:val="24"/>
          <w:szCs w:val="24"/>
        </w:rPr>
        <w:t>ţ</w:t>
      </w:r>
      <w:r w:rsidRPr="00AF35CF">
        <w:rPr>
          <w:rFonts w:ascii="Times New Roman" w:hAnsi="Times New Roman" w:cs="Times New Roman"/>
          <w:sz w:val="24"/>
          <w:szCs w:val="24"/>
        </w:rPr>
        <w:t>ie de BRM, conform preciz</w:t>
      </w:r>
      <w:r w:rsidR="00644611" w:rsidRPr="00AF35CF">
        <w:rPr>
          <w:rFonts w:ascii="Times New Roman" w:hAnsi="Times New Roman" w:cs="Times New Roman"/>
          <w:sz w:val="24"/>
          <w:szCs w:val="24"/>
        </w:rPr>
        <w:t>ă</w:t>
      </w:r>
      <w:r w:rsidRPr="00AF35CF">
        <w:rPr>
          <w:rFonts w:ascii="Times New Roman" w:hAnsi="Times New Roman" w:cs="Times New Roman"/>
          <w:sz w:val="24"/>
          <w:szCs w:val="24"/>
        </w:rPr>
        <w:t xml:space="preserve">rilor tehnice publicate pe website-ul de BRM, </w:t>
      </w:r>
      <w:r w:rsidR="00644611" w:rsidRPr="00AF35CF">
        <w:rPr>
          <w:rFonts w:ascii="Times New Roman" w:hAnsi="Times New Roman" w:cs="Times New Roman"/>
          <w:sz w:val="24"/>
          <w:szCs w:val="24"/>
        </w:rPr>
        <w:t>î</w:t>
      </w:r>
      <w:r w:rsidRPr="00AF35CF">
        <w:rPr>
          <w:rFonts w:ascii="Times New Roman" w:hAnsi="Times New Roman" w:cs="Times New Roman"/>
          <w:sz w:val="24"/>
          <w:szCs w:val="24"/>
        </w:rPr>
        <w:t>n cadrul sec</w:t>
      </w:r>
      <w:r w:rsidR="00644611" w:rsidRPr="00AF35CF">
        <w:rPr>
          <w:rFonts w:ascii="Times New Roman" w:hAnsi="Times New Roman" w:cs="Times New Roman"/>
          <w:sz w:val="24"/>
          <w:szCs w:val="24"/>
        </w:rPr>
        <w:t>ţ</w:t>
      </w:r>
      <w:r w:rsidRPr="00AF35CF">
        <w:rPr>
          <w:rFonts w:ascii="Times New Roman" w:hAnsi="Times New Roman" w:cs="Times New Roman"/>
          <w:sz w:val="24"/>
          <w:szCs w:val="24"/>
        </w:rPr>
        <w:t xml:space="preserve">iunii dedicate </w:t>
      </w:r>
      <w:r w:rsidR="00743C94">
        <w:rPr>
          <w:rFonts w:ascii="Times New Roman" w:hAnsi="Times New Roman" w:cs="Times New Roman"/>
          <w:sz w:val="24"/>
          <w:szCs w:val="24"/>
        </w:rPr>
        <w:t>PZU</w:t>
      </w:r>
      <w:r w:rsidRPr="00AF35CF">
        <w:rPr>
          <w:rFonts w:ascii="Times New Roman" w:hAnsi="Times New Roman" w:cs="Times New Roman"/>
          <w:sz w:val="24"/>
          <w:szCs w:val="24"/>
        </w:rPr>
        <w:t>.</w:t>
      </w:r>
    </w:p>
    <w:p w14:paraId="2B567170" w14:textId="5BB7CC2D" w:rsidR="00EA4C3B" w:rsidRPr="002202F9" w:rsidRDefault="00EA4C3B" w:rsidP="00C961E0">
      <w:pPr>
        <w:pStyle w:val="ListParagraph"/>
        <w:numPr>
          <w:ilvl w:val="1"/>
          <w:numId w:val="27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Pentru restituirea, partial</w:t>
      </w:r>
      <w:r w:rsidR="00644611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sau integral</w:t>
      </w:r>
      <w:r w:rsidR="00644611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garan</w:t>
      </w:r>
      <w:r w:rsidR="00644611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iei</w:t>
      </w:r>
      <w:r w:rsidR="00644611">
        <w:rPr>
          <w:rFonts w:ascii="Times New Roman" w:hAnsi="Times New Roman" w:cs="Times New Roman"/>
          <w:sz w:val="24"/>
          <w:szCs w:val="24"/>
        </w:rPr>
        <w:t>,</w:t>
      </w:r>
      <w:r w:rsidRPr="002202F9">
        <w:rPr>
          <w:rFonts w:ascii="Times New Roman" w:hAnsi="Times New Roman" w:cs="Times New Roman"/>
          <w:sz w:val="24"/>
          <w:szCs w:val="24"/>
        </w:rPr>
        <w:t xml:space="preserve"> Participant</w:t>
      </w:r>
      <w:r w:rsidR="00644611">
        <w:rPr>
          <w:rFonts w:ascii="Times New Roman" w:hAnsi="Times New Roman" w:cs="Times New Roman"/>
          <w:sz w:val="24"/>
          <w:szCs w:val="24"/>
        </w:rPr>
        <w:t>ul</w:t>
      </w:r>
      <w:r w:rsidRPr="002202F9">
        <w:rPr>
          <w:rFonts w:ascii="Times New Roman" w:hAnsi="Times New Roman" w:cs="Times New Roman"/>
          <w:sz w:val="24"/>
          <w:szCs w:val="24"/>
        </w:rPr>
        <w:t xml:space="preserve"> transmite</w:t>
      </w:r>
      <w:r w:rsidR="00644611">
        <w:rPr>
          <w:rFonts w:ascii="Times New Roman" w:hAnsi="Times New Roman" w:cs="Times New Roman"/>
          <w:sz w:val="24"/>
          <w:szCs w:val="24"/>
        </w:rPr>
        <w:t xml:space="preserve"> către</w:t>
      </w:r>
      <w:r w:rsidRPr="002202F9">
        <w:rPr>
          <w:rFonts w:ascii="Times New Roman" w:hAnsi="Times New Roman" w:cs="Times New Roman"/>
          <w:sz w:val="24"/>
          <w:szCs w:val="24"/>
        </w:rPr>
        <w:t xml:space="preserve"> BRM o cerere urm</w:t>
      </w:r>
      <w:r w:rsidR="00644611">
        <w:rPr>
          <w:rFonts w:ascii="Times New Roman" w:hAnsi="Times New Roman" w:cs="Times New Roman"/>
          <w:sz w:val="24"/>
          <w:szCs w:val="24"/>
        </w:rPr>
        <w:t>â</w:t>
      </w:r>
      <w:r w:rsidRPr="002202F9">
        <w:rPr>
          <w:rFonts w:ascii="Times New Roman" w:hAnsi="Times New Roman" w:cs="Times New Roman"/>
          <w:sz w:val="24"/>
          <w:szCs w:val="24"/>
        </w:rPr>
        <w:t>nd ca BRM, în funcție de analiza situației participantului cu privire obliga</w:t>
      </w:r>
      <w:r w:rsidR="00644611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iile de plat</w:t>
      </w:r>
      <w:r w:rsidR="00644611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curente s</w:t>
      </w:r>
      <w:r w:rsidR="00644611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finalize demersul cu informarea par</w:t>
      </w:r>
      <w:r w:rsidR="00644611">
        <w:rPr>
          <w:rFonts w:ascii="Times New Roman" w:hAnsi="Times New Roman" w:cs="Times New Roman"/>
          <w:sz w:val="24"/>
          <w:szCs w:val="24"/>
        </w:rPr>
        <w:t>t</w:t>
      </w:r>
      <w:r w:rsidRPr="002202F9">
        <w:rPr>
          <w:rFonts w:ascii="Times New Roman" w:hAnsi="Times New Roman" w:cs="Times New Roman"/>
          <w:sz w:val="24"/>
          <w:szCs w:val="24"/>
        </w:rPr>
        <w:t xml:space="preserve">icipantului. </w:t>
      </w:r>
    </w:p>
    <w:p w14:paraId="2E4A8CC3" w14:textId="45FA8116" w:rsidR="00EA4C3B" w:rsidRPr="002202F9" w:rsidRDefault="00EA4C3B" w:rsidP="00C961E0">
      <w:pPr>
        <w:pStyle w:val="ListParagraph"/>
        <w:numPr>
          <w:ilvl w:val="1"/>
          <w:numId w:val="27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Cererile de depunere, restituire par</w:t>
      </w:r>
      <w:r w:rsidR="0030316A">
        <w:rPr>
          <w:rFonts w:ascii="Times New Roman" w:hAnsi="Times New Roman" w:cs="Times New Roman"/>
          <w:sz w:val="24"/>
          <w:szCs w:val="24"/>
        </w:rPr>
        <w:t>ț</w:t>
      </w:r>
      <w:r w:rsidRPr="002202F9">
        <w:rPr>
          <w:rFonts w:ascii="Times New Roman" w:hAnsi="Times New Roman" w:cs="Times New Roman"/>
          <w:sz w:val="24"/>
          <w:szCs w:val="24"/>
        </w:rPr>
        <w:t>ial</w:t>
      </w:r>
      <w:r w:rsidR="00644611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sau integral</w:t>
      </w:r>
      <w:r w:rsidR="00644611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se opereaz</w:t>
      </w:r>
      <w:r w:rsidR="00644611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644611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 xml:space="preserve">n cel mai scurt timp posibil, </w:t>
      </w:r>
      <w:r w:rsidR="00644611">
        <w:rPr>
          <w:rFonts w:ascii="Times New Roman" w:hAnsi="Times New Roman" w:cs="Times New Roman"/>
          <w:sz w:val="24"/>
          <w:szCs w:val="24"/>
        </w:rPr>
        <w:t>v</w:t>
      </w:r>
      <w:r w:rsidR="00644611" w:rsidRPr="00644611">
        <w:rPr>
          <w:rFonts w:ascii="Times New Roman" w:hAnsi="Times New Roman" w:cs="Times New Roman"/>
          <w:sz w:val="24"/>
          <w:szCs w:val="24"/>
        </w:rPr>
        <w:t>or fi procesate de către BRM în cel mai scurt timp posibil, în timpul programului de lucru în zilele bancare lucrătoare.</w:t>
      </w:r>
      <w:r w:rsidRPr="002202F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06DBB8" w14:textId="3BB5941F" w:rsidR="00EA4C3B" w:rsidRPr="002202F9" w:rsidRDefault="00644611" w:rsidP="00C961E0">
      <w:pPr>
        <w:pStyle w:val="ListParagraph"/>
        <w:numPr>
          <w:ilvl w:val="1"/>
          <w:numId w:val="27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EA4C3B" w:rsidRPr="002202F9">
        <w:rPr>
          <w:rFonts w:ascii="Times New Roman" w:hAnsi="Times New Roman" w:cs="Times New Roman"/>
          <w:sz w:val="24"/>
          <w:szCs w:val="24"/>
        </w:rPr>
        <w:t>n cazul procedurilor de încasare a garanțiilor toate costurile sunt suportate de către participant.</w:t>
      </w:r>
    </w:p>
    <w:p w14:paraId="50C97192" w14:textId="77777777" w:rsidR="00EA4C3B" w:rsidRPr="002202F9" w:rsidRDefault="00EA4C3B" w:rsidP="00C961E0">
      <w:pPr>
        <w:spacing w:after="0"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</w:p>
    <w:p w14:paraId="5B16BE49" w14:textId="213C9876" w:rsidR="00EA4C3B" w:rsidRPr="002202F9" w:rsidRDefault="00EA4C3B" w:rsidP="00C961E0">
      <w:pPr>
        <w:pStyle w:val="Heading1"/>
        <w:numPr>
          <w:ilvl w:val="0"/>
          <w:numId w:val="9"/>
        </w:numPr>
        <w:spacing w:before="0"/>
        <w:ind w:left="432" w:hanging="432"/>
      </w:pPr>
      <w:bookmarkStart w:id="35" w:name="_Toc163211436"/>
      <w:r w:rsidRPr="002202F9">
        <w:t>Calculul garan</w:t>
      </w:r>
      <w:r w:rsidR="00644611">
        <w:t>ţ</w:t>
      </w:r>
      <w:r w:rsidRPr="002202F9">
        <w:t xml:space="preserve">iei disponibile </w:t>
      </w:r>
      <w:r w:rsidR="00644611">
        <w:t>ş</w:t>
      </w:r>
      <w:r w:rsidRPr="002202F9">
        <w:t>i a limitei de tranzac</w:t>
      </w:r>
      <w:r w:rsidR="00644611">
        <w:t>ţ</w:t>
      </w:r>
      <w:r w:rsidRPr="002202F9">
        <w:t>ionare</w:t>
      </w:r>
      <w:bookmarkEnd w:id="35"/>
    </w:p>
    <w:p w14:paraId="0EF2A788" w14:textId="55765B1C" w:rsidR="00EA4C3B" w:rsidRPr="002202F9" w:rsidRDefault="00EA4C3B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BRM calculează garanția utilizat</w:t>
      </w:r>
      <w:r w:rsidR="00644611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de un Participant de la momentul introducerii de ordine în platformele de tranzacționare</w:t>
      </w:r>
      <w:r w:rsidR="000F6808">
        <w:rPr>
          <w:rFonts w:ascii="Times New Roman" w:hAnsi="Times New Roman" w:cs="Times New Roman"/>
          <w:sz w:val="24"/>
          <w:szCs w:val="24"/>
        </w:rPr>
        <w:t xml:space="preserve"> aferente PZU și PI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1750D5" w:rsidRPr="002202F9">
        <w:rPr>
          <w:rFonts w:ascii="Times New Roman" w:hAnsi="Times New Roman" w:cs="Times New Roman"/>
          <w:sz w:val="24"/>
          <w:szCs w:val="24"/>
        </w:rPr>
        <w:t>p</w:t>
      </w:r>
      <w:r w:rsidR="001750D5">
        <w:rPr>
          <w:rFonts w:ascii="Times New Roman" w:hAnsi="Times New Roman" w:cs="Times New Roman"/>
          <w:sz w:val="24"/>
          <w:szCs w:val="24"/>
        </w:rPr>
        <w:t>â</w:t>
      </w:r>
      <w:r w:rsidR="001750D5" w:rsidRPr="002202F9">
        <w:rPr>
          <w:rFonts w:ascii="Times New Roman" w:hAnsi="Times New Roman" w:cs="Times New Roman"/>
          <w:sz w:val="24"/>
          <w:szCs w:val="24"/>
        </w:rPr>
        <w:t>n</w:t>
      </w:r>
      <w:r w:rsidR="001750D5">
        <w:rPr>
          <w:rFonts w:ascii="Times New Roman" w:hAnsi="Times New Roman" w:cs="Times New Roman"/>
          <w:sz w:val="24"/>
          <w:szCs w:val="24"/>
        </w:rPr>
        <w:t>ă</w:t>
      </w:r>
      <w:r w:rsidR="001750D5"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Pr="002202F9">
        <w:rPr>
          <w:rFonts w:ascii="Times New Roman" w:hAnsi="Times New Roman" w:cs="Times New Roman"/>
          <w:sz w:val="24"/>
          <w:szCs w:val="24"/>
        </w:rPr>
        <w:t>la finalul decont</w:t>
      </w:r>
      <w:r w:rsidR="001750D5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>rii tuturor obliga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iilor de plat</w:t>
      </w:r>
      <w:r w:rsidR="001750D5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ce decurg din activitatea de tra</w:t>
      </w:r>
      <w:r w:rsidR="00342447" w:rsidRPr="002202F9">
        <w:rPr>
          <w:rFonts w:ascii="Times New Roman" w:hAnsi="Times New Roman" w:cs="Times New Roman"/>
          <w:sz w:val="24"/>
          <w:szCs w:val="24"/>
        </w:rPr>
        <w:t>n</w:t>
      </w:r>
      <w:r w:rsidRPr="002202F9">
        <w:rPr>
          <w:rFonts w:ascii="Times New Roman" w:hAnsi="Times New Roman" w:cs="Times New Roman"/>
          <w:sz w:val="24"/>
          <w:szCs w:val="24"/>
        </w:rPr>
        <w:t>zac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ionare</w:t>
      </w:r>
      <w:r w:rsidR="001750D5">
        <w:rPr>
          <w:rFonts w:ascii="Times New Roman" w:hAnsi="Times New Roman" w:cs="Times New Roman"/>
          <w:sz w:val="24"/>
          <w:szCs w:val="24"/>
        </w:rPr>
        <w:t>.</w:t>
      </w:r>
    </w:p>
    <w:p w14:paraId="0E11D10B" w14:textId="02C5B40A" w:rsidR="00EA4C3B" w:rsidRPr="002202F9" w:rsidRDefault="00EA4C3B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 xml:space="preserve">Garanțiile depuse, gradul de utilizare al acestora </w:t>
      </w:r>
      <w:r w:rsidR="001750D5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respectiv limita de tranzac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ionare sunt gestionate de BRM în timp real prin intermediul sistemului de tran</w:t>
      </w:r>
      <w:r w:rsidR="001750D5">
        <w:rPr>
          <w:rFonts w:ascii="Times New Roman" w:hAnsi="Times New Roman" w:cs="Times New Roman"/>
          <w:sz w:val="24"/>
          <w:szCs w:val="24"/>
        </w:rPr>
        <w:t>z</w:t>
      </w:r>
      <w:r w:rsidRPr="002202F9">
        <w:rPr>
          <w:rFonts w:ascii="Times New Roman" w:hAnsi="Times New Roman" w:cs="Times New Roman"/>
          <w:sz w:val="24"/>
          <w:szCs w:val="24"/>
        </w:rPr>
        <w:t>ac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ionare </w:t>
      </w:r>
      <w:r w:rsidR="001750D5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 xml:space="preserve">i </w:t>
      </w:r>
      <w:r w:rsidR="001750D5">
        <w:rPr>
          <w:rFonts w:ascii="Times New Roman" w:hAnsi="Times New Roman" w:cs="Times New Roman"/>
          <w:sz w:val="24"/>
          <w:szCs w:val="24"/>
        </w:rPr>
        <w:t xml:space="preserve">prin intermediul </w:t>
      </w:r>
      <w:r w:rsidRPr="002202F9">
        <w:rPr>
          <w:rFonts w:ascii="Times New Roman" w:hAnsi="Times New Roman" w:cs="Times New Roman"/>
          <w:sz w:val="24"/>
          <w:szCs w:val="24"/>
        </w:rPr>
        <w:t>solu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iei de clearing puse la dispozi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ie Participan</w:t>
      </w:r>
      <w:r w:rsidR="00625420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ilor.</w:t>
      </w:r>
    </w:p>
    <w:p w14:paraId="5C8D5528" w14:textId="7598A830" w:rsidR="00EA4C3B" w:rsidRPr="002202F9" w:rsidRDefault="00EA4C3B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Participantul poate dispune de garan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ia disponibil</w:t>
      </w:r>
      <w:r w:rsidR="001750D5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pentru realocare, diminuare sau restituire </w:t>
      </w:r>
      <w:r w:rsidR="001750D5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orice moment p</w:t>
      </w:r>
      <w:r w:rsidR="001750D5">
        <w:rPr>
          <w:rFonts w:ascii="Times New Roman" w:hAnsi="Times New Roman" w:cs="Times New Roman"/>
          <w:sz w:val="24"/>
          <w:szCs w:val="24"/>
        </w:rPr>
        <w:t>â</w:t>
      </w:r>
      <w:r w:rsidRPr="002202F9">
        <w:rPr>
          <w:rFonts w:ascii="Times New Roman" w:hAnsi="Times New Roman" w:cs="Times New Roman"/>
          <w:sz w:val="24"/>
          <w:szCs w:val="24"/>
        </w:rPr>
        <w:t>n</w:t>
      </w:r>
      <w:r w:rsidR="001750D5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la maxim concuren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a limitei de tranzac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ionare, ajustat</w:t>
      </w:r>
      <w:r w:rsidR="001750D5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cu valoarea TVA </w:t>
      </w:r>
      <w:r w:rsidR="001750D5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 xml:space="preserve">n cazurile </w:t>
      </w:r>
      <w:r w:rsidR="001750D5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care este aplicabil</w:t>
      </w:r>
      <w:r w:rsidR="001750D5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A0F3ED" w14:textId="0BC5CAE0" w:rsidR="0071639F" w:rsidRPr="002202F9" w:rsidRDefault="00690500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lastRenderedPageBreak/>
        <w:t>Participantul beneficiaz</w:t>
      </w:r>
      <w:r w:rsidR="001750D5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  <w:r w:rsidR="0071639F" w:rsidRPr="002202F9">
        <w:rPr>
          <w:rFonts w:ascii="Times New Roman" w:hAnsi="Times New Roman" w:cs="Times New Roman"/>
          <w:sz w:val="24"/>
          <w:szCs w:val="24"/>
        </w:rPr>
        <w:t xml:space="preserve">de </w:t>
      </w:r>
      <w:r w:rsidRPr="002202F9">
        <w:rPr>
          <w:rFonts w:ascii="Times New Roman" w:hAnsi="Times New Roman" w:cs="Times New Roman"/>
          <w:sz w:val="24"/>
          <w:szCs w:val="24"/>
        </w:rPr>
        <w:t>cre</w:t>
      </w:r>
      <w:r w:rsidR="001750D5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terea limitei de tranzac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ionare </w:t>
      </w:r>
      <w:r w:rsidR="001750D5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 cadrul platformei de tranzac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ionare pentru tranzac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iile de v</w:t>
      </w:r>
      <w:r w:rsidR="001750D5">
        <w:rPr>
          <w:rFonts w:ascii="Times New Roman" w:hAnsi="Times New Roman" w:cs="Times New Roman"/>
          <w:sz w:val="24"/>
          <w:szCs w:val="24"/>
        </w:rPr>
        <w:t>â</w:t>
      </w:r>
      <w:r w:rsidRPr="002202F9">
        <w:rPr>
          <w:rFonts w:ascii="Times New Roman" w:hAnsi="Times New Roman" w:cs="Times New Roman"/>
          <w:sz w:val="24"/>
          <w:szCs w:val="24"/>
        </w:rPr>
        <w:t>nzare la pre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 pozitiv </w:t>
      </w:r>
      <w:r w:rsidR="001750D5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tranzac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iile de cump</w:t>
      </w:r>
      <w:r w:rsidR="001750D5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>rare la pre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 xml:space="preserve"> negativ </w:t>
      </w:r>
      <w:r w:rsidR="001750D5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 xml:space="preserve">ntre momentul </w:t>
      </w:r>
      <w:r w:rsidR="001750D5">
        <w:rPr>
          <w:rFonts w:ascii="Times New Roman" w:hAnsi="Times New Roman" w:cs="Times New Roman"/>
          <w:sz w:val="24"/>
          <w:szCs w:val="24"/>
        </w:rPr>
        <w:t>î</w:t>
      </w:r>
      <w:r w:rsidRPr="002202F9">
        <w:rPr>
          <w:rFonts w:ascii="Times New Roman" w:hAnsi="Times New Roman" w:cs="Times New Roman"/>
          <w:sz w:val="24"/>
          <w:szCs w:val="24"/>
        </w:rPr>
        <w:t>ncheierii tranzac</w:t>
      </w:r>
      <w:r w:rsidR="001750D5">
        <w:rPr>
          <w:rFonts w:ascii="Times New Roman" w:hAnsi="Times New Roman" w:cs="Times New Roman"/>
          <w:sz w:val="24"/>
          <w:szCs w:val="24"/>
        </w:rPr>
        <w:t>ţi</w:t>
      </w:r>
      <w:r w:rsidRPr="002202F9">
        <w:rPr>
          <w:rFonts w:ascii="Times New Roman" w:hAnsi="Times New Roman" w:cs="Times New Roman"/>
          <w:sz w:val="24"/>
          <w:szCs w:val="24"/>
        </w:rPr>
        <w:t xml:space="preserve">ei </w:t>
      </w:r>
      <w:r w:rsidR="001750D5">
        <w:rPr>
          <w:rFonts w:ascii="Times New Roman" w:hAnsi="Times New Roman" w:cs="Times New Roman"/>
          <w:sz w:val="24"/>
          <w:szCs w:val="24"/>
        </w:rPr>
        <w:t>ş</w:t>
      </w:r>
      <w:r w:rsidRPr="002202F9">
        <w:rPr>
          <w:rFonts w:ascii="Times New Roman" w:hAnsi="Times New Roman" w:cs="Times New Roman"/>
          <w:sz w:val="24"/>
          <w:szCs w:val="24"/>
        </w:rPr>
        <w:t>i finalizarea decont</w:t>
      </w:r>
      <w:r w:rsidR="001750D5">
        <w:rPr>
          <w:rFonts w:ascii="Times New Roman" w:hAnsi="Times New Roman" w:cs="Times New Roman"/>
          <w:sz w:val="24"/>
          <w:szCs w:val="24"/>
        </w:rPr>
        <w:t>ă</w:t>
      </w:r>
      <w:r w:rsidRPr="002202F9">
        <w:rPr>
          <w:rFonts w:ascii="Times New Roman" w:hAnsi="Times New Roman" w:cs="Times New Roman"/>
          <w:sz w:val="24"/>
          <w:szCs w:val="24"/>
        </w:rPr>
        <w:t>rii aferente tranzac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Pr="002202F9">
        <w:rPr>
          <w:rFonts w:ascii="Times New Roman" w:hAnsi="Times New Roman" w:cs="Times New Roman"/>
          <w:sz w:val="24"/>
          <w:szCs w:val="24"/>
        </w:rPr>
        <w:t>iilor</w:t>
      </w:r>
      <w:r w:rsidR="0071639F" w:rsidRPr="002202F9">
        <w:rPr>
          <w:rFonts w:ascii="Times New Roman" w:hAnsi="Times New Roman" w:cs="Times New Roman"/>
          <w:sz w:val="24"/>
          <w:szCs w:val="24"/>
        </w:rPr>
        <w:t>, aceast</w:t>
      </w:r>
      <w:r w:rsidR="001750D5">
        <w:rPr>
          <w:rFonts w:ascii="Times New Roman" w:hAnsi="Times New Roman" w:cs="Times New Roman"/>
          <w:sz w:val="24"/>
          <w:szCs w:val="24"/>
        </w:rPr>
        <w:t>ă</w:t>
      </w:r>
      <w:r w:rsidR="0071639F" w:rsidRPr="002202F9">
        <w:rPr>
          <w:rFonts w:ascii="Times New Roman" w:hAnsi="Times New Roman" w:cs="Times New Roman"/>
          <w:sz w:val="24"/>
          <w:szCs w:val="24"/>
        </w:rPr>
        <w:t xml:space="preserve"> cre</w:t>
      </w:r>
      <w:r w:rsidR="001750D5">
        <w:rPr>
          <w:rFonts w:ascii="Times New Roman" w:hAnsi="Times New Roman" w:cs="Times New Roman"/>
          <w:sz w:val="24"/>
          <w:szCs w:val="24"/>
        </w:rPr>
        <w:t>ş</w:t>
      </w:r>
      <w:r w:rsidR="0071639F" w:rsidRPr="002202F9">
        <w:rPr>
          <w:rFonts w:ascii="Times New Roman" w:hAnsi="Times New Roman" w:cs="Times New Roman"/>
          <w:sz w:val="24"/>
          <w:szCs w:val="24"/>
        </w:rPr>
        <w:t>tere nefiind disponibil</w:t>
      </w:r>
      <w:r w:rsidR="001750D5">
        <w:rPr>
          <w:rFonts w:ascii="Times New Roman" w:hAnsi="Times New Roman" w:cs="Times New Roman"/>
          <w:sz w:val="24"/>
          <w:szCs w:val="24"/>
        </w:rPr>
        <w:t>ă</w:t>
      </w:r>
      <w:r w:rsidR="0071639F" w:rsidRPr="002202F9">
        <w:rPr>
          <w:rFonts w:ascii="Times New Roman" w:hAnsi="Times New Roman" w:cs="Times New Roman"/>
          <w:sz w:val="24"/>
          <w:szCs w:val="24"/>
        </w:rPr>
        <w:t xml:space="preserve"> pentru realocare, diminuare sau restituirea  garan</w:t>
      </w:r>
      <w:r w:rsidR="001750D5">
        <w:rPr>
          <w:rFonts w:ascii="Times New Roman" w:hAnsi="Times New Roman" w:cs="Times New Roman"/>
          <w:sz w:val="24"/>
          <w:szCs w:val="24"/>
        </w:rPr>
        <w:t>ţ</w:t>
      </w:r>
      <w:r w:rsidR="0071639F" w:rsidRPr="002202F9">
        <w:rPr>
          <w:rFonts w:ascii="Times New Roman" w:hAnsi="Times New Roman" w:cs="Times New Roman"/>
          <w:sz w:val="24"/>
          <w:szCs w:val="24"/>
        </w:rPr>
        <w:t xml:space="preserve">iei depuse.  </w:t>
      </w:r>
    </w:p>
    <w:p w14:paraId="0117F2AF" w14:textId="550B9926" w:rsidR="00EA4C3B" w:rsidRPr="002202F9" w:rsidRDefault="00EA4C3B" w:rsidP="00C961E0">
      <w:pPr>
        <w:pStyle w:val="ListParagraph"/>
        <w:numPr>
          <w:ilvl w:val="1"/>
          <w:numId w:val="9"/>
        </w:numPr>
        <w:spacing w:line="360" w:lineRule="auto"/>
        <w:ind w:left="634" w:hanging="634"/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Formula de calcul a limitei</w:t>
      </w:r>
      <w:r w:rsidR="004B6018" w:rsidRPr="002202F9">
        <w:rPr>
          <w:rFonts w:ascii="Times New Roman" w:hAnsi="Times New Roman" w:cs="Times New Roman"/>
          <w:sz w:val="24"/>
          <w:szCs w:val="24"/>
        </w:rPr>
        <w:t xml:space="preserve"> maxime</w:t>
      </w:r>
      <w:r w:rsidRPr="002202F9">
        <w:rPr>
          <w:rFonts w:ascii="Times New Roman" w:hAnsi="Times New Roman" w:cs="Times New Roman"/>
          <w:sz w:val="24"/>
          <w:szCs w:val="24"/>
        </w:rPr>
        <w:t xml:space="preserve"> de tranzacționare </w:t>
      </w:r>
      <w:r w:rsidR="00ED6179">
        <w:rPr>
          <w:rFonts w:ascii="Times New Roman" w:hAnsi="Times New Roman" w:cs="Times New Roman"/>
          <w:sz w:val="24"/>
          <w:szCs w:val="24"/>
        </w:rPr>
        <w:t>î</w:t>
      </w:r>
      <w:r w:rsidR="00690500" w:rsidRPr="002202F9">
        <w:rPr>
          <w:rFonts w:ascii="Times New Roman" w:hAnsi="Times New Roman" w:cs="Times New Roman"/>
          <w:sz w:val="24"/>
          <w:szCs w:val="24"/>
        </w:rPr>
        <w:t>n platforma de tranzac</w:t>
      </w:r>
      <w:r w:rsidR="00625420">
        <w:rPr>
          <w:rFonts w:ascii="Times New Roman" w:hAnsi="Times New Roman" w:cs="Times New Roman"/>
          <w:sz w:val="24"/>
          <w:szCs w:val="24"/>
        </w:rPr>
        <w:t>ţ</w:t>
      </w:r>
      <w:r w:rsidR="00690500" w:rsidRPr="002202F9">
        <w:rPr>
          <w:rFonts w:ascii="Times New Roman" w:hAnsi="Times New Roman" w:cs="Times New Roman"/>
          <w:sz w:val="24"/>
          <w:szCs w:val="24"/>
        </w:rPr>
        <w:t>ionare</w:t>
      </w:r>
      <w:r w:rsidRPr="002202F9">
        <w:rPr>
          <w:rFonts w:ascii="Times New Roman" w:hAnsi="Times New Roman" w:cs="Times New Roman"/>
          <w:sz w:val="24"/>
          <w:szCs w:val="24"/>
        </w:rPr>
        <w:t>:</w:t>
      </w:r>
    </w:p>
    <w:p w14:paraId="0EC5C359" w14:textId="77777777" w:rsidR="00EA4C3B" w:rsidRPr="002202F9" w:rsidRDefault="00EA4C3B" w:rsidP="00EA4C3B">
      <w:pPr>
        <w:pStyle w:val="ListParagraph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53E3E168" w14:textId="6F6A89EF" w:rsidR="00EA4C3B" w:rsidRPr="002202F9" w:rsidRDefault="00EA4C3B" w:rsidP="00EA4C3B">
      <w:pPr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Limită Tranzacționare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Sold cont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-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Expunere</m:t>
          </m:r>
        </m:oMath>
      </m:oMathPara>
    </w:p>
    <w:p w14:paraId="684B4156" w14:textId="77777777" w:rsidR="00EA4C3B" w:rsidRPr="002202F9" w:rsidRDefault="00EA4C3B" w:rsidP="00EA4C3B">
      <w:pPr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2202F9">
        <w:rPr>
          <w:rFonts w:ascii="Times New Roman" w:eastAsiaTheme="minorEastAsia" w:hAnsi="Times New Roman" w:cs="Times New Roman"/>
          <w:bCs/>
          <w:iCs/>
          <w:sz w:val="24"/>
          <w:szCs w:val="24"/>
        </w:rPr>
        <w:t>unde,</w:t>
      </w:r>
    </w:p>
    <w:p w14:paraId="2A166DA4" w14:textId="4C927D2C" w:rsidR="00EA4C3B" w:rsidRPr="002202F9" w:rsidRDefault="00EA4C3B" w:rsidP="00EA4C3B">
      <w:pPr>
        <w:pStyle w:val="ListParagraph"/>
        <w:numPr>
          <w:ilvl w:val="0"/>
          <w:numId w:val="28"/>
        </w:numPr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Sold cont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Garan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ț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ii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depuse</m:t>
                </m:r>
              </m:sub>
            </m:sSub>
          </m:e>
        </m:nary>
      </m:oMath>
      <w:r w:rsidRPr="002202F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, respectiv s</w:t>
      </w:r>
      <w:r w:rsidRPr="002202F9">
        <w:rPr>
          <w:rFonts w:ascii="Times New Roman" w:eastAsiaTheme="minorEastAsia" w:hAnsi="Times New Roman" w:cs="Times New Roman"/>
          <w:bCs/>
          <w:iCs/>
          <w:sz w:val="24"/>
          <w:szCs w:val="24"/>
        </w:rPr>
        <w:t>uma valorii tuturor garanțiilor valabile</w:t>
      </w:r>
      <w:r w:rsidR="00FF59BD" w:rsidRPr="002202F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alocate pe </w:t>
      </w:r>
      <w:r w:rsidR="000F680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PZU și </w:t>
      </w:r>
      <w:r w:rsidR="00FF59BD" w:rsidRPr="002202F9">
        <w:rPr>
          <w:rFonts w:ascii="Times New Roman" w:eastAsiaTheme="minorEastAsia" w:hAnsi="Times New Roman" w:cs="Times New Roman"/>
          <w:bCs/>
          <w:iCs/>
          <w:sz w:val="24"/>
          <w:szCs w:val="24"/>
        </w:rPr>
        <w:t>PI</w:t>
      </w:r>
      <w:r w:rsidRPr="002202F9">
        <w:rPr>
          <w:rFonts w:ascii="Times New Roman" w:eastAsiaTheme="minorEastAsia" w:hAnsi="Times New Roman" w:cs="Times New Roman"/>
          <w:bCs/>
          <w:iCs/>
          <w:sz w:val="24"/>
          <w:szCs w:val="24"/>
        </w:rPr>
        <w:t>, unde</w:t>
      </w:r>
    </w:p>
    <w:p w14:paraId="3978E78C" w14:textId="77777777" w:rsidR="00EA4C3B" w:rsidRPr="002202F9" w:rsidRDefault="00EA4C3B" w:rsidP="00EA4C3B">
      <w:pPr>
        <w:pStyle w:val="ListParagraph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14:paraId="6E57BDD3" w14:textId="38FF2B0F" w:rsidR="00EA4C3B" w:rsidRPr="002202F9" w:rsidRDefault="00EA4C3B" w:rsidP="00EA4C3B">
      <w:pPr>
        <w:pStyle w:val="ListParagraph"/>
        <w:numPr>
          <w:ilvl w:val="1"/>
          <w:numId w:val="28"/>
        </w:numPr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  <w:r w:rsidRPr="002202F9">
        <w:rPr>
          <w:rFonts w:ascii="Times New Roman" w:eastAsiaTheme="minorEastAsia" w:hAnsi="Times New Roman" w:cs="Times New Roman"/>
          <w:bCs/>
          <w:iCs/>
          <w:sz w:val="24"/>
          <w:szCs w:val="24"/>
        </w:rPr>
        <w:t>Garanții</w:t>
      </w:r>
      <w:r w:rsidRPr="002202F9">
        <w:rPr>
          <w:rFonts w:ascii="Times New Roman" w:eastAsiaTheme="minorEastAsia" w:hAnsi="Times New Roman" w:cs="Times New Roman"/>
          <w:bCs/>
          <w:iCs/>
          <w:sz w:val="24"/>
          <w:szCs w:val="24"/>
          <w:vertAlign w:val="subscript"/>
        </w:rPr>
        <w:t>depuse</w:t>
      </w:r>
      <w:r w:rsidRPr="002202F9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înseamnă toate instrumentele de garantare depuse în favoarea BRM</w:t>
      </w:r>
      <w:r w:rsidR="001750D5">
        <w:rPr>
          <w:rFonts w:ascii="Times New Roman" w:eastAsiaTheme="minorEastAsia" w:hAnsi="Times New Roman" w:cs="Times New Roman"/>
          <w:bCs/>
          <w:iCs/>
          <w:sz w:val="24"/>
          <w:szCs w:val="24"/>
        </w:rPr>
        <w:t>.</w:t>
      </w:r>
    </w:p>
    <w:p w14:paraId="371A2AEF" w14:textId="77777777" w:rsidR="00EA4C3B" w:rsidRPr="002202F9" w:rsidRDefault="00EA4C3B" w:rsidP="00EA4C3B">
      <w:pPr>
        <w:pStyle w:val="ListParagraph"/>
        <w:ind w:left="1440"/>
        <w:jc w:val="both"/>
        <w:rPr>
          <w:rFonts w:ascii="Times New Roman" w:eastAsiaTheme="minorEastAsia" w:hAnsi="Times New Roman" w:cs="Times New Roman"/>
          <w:bCs/>
          <w:iCs/>
          <w:sz w:val="24"/>
          <w:szCs w:val="24"/>
        </w:rPr>
      </w:pPr>
    </w:p>
    <w:p w14:paraId="01EDE03B" w14:textId="65957E3A" w:rsidR="00EA4C3B" w:rsidRPr="002202F9" w:rsidRDefault="00EA4C3B" w:rsidP="00EA4C3B">
      <w:pPr>
        <w:pStyle w:val="ListParagraph"/>
        <w:numPr>
          <w:ilvl w:val="0"/>
          <w:numId w:val="28"/>
        </w:numPr>
        <w:tabs>
          <w:tab w:val="left" w:pos="2148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cs="Times New Roman"/>
            <w:sz w:val="24"/>
            <w:szCs w:val="24"/>
          </w:rPr>
          <m:t>Expunere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Expunere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ordine 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Expunere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tranzacţii nedecontate</m:t>
                </m:r>
              </m:sub>
            </m:sSub>
          </m:e>
        </m:nary>
        <m:r>
          <w:rPr>
            <w:rFonts w:ascii="Cambria Math" w:eastAsiaTheme="minorEastAsia" w:hAnsi="Cambria Math" w:cs="Times New Roman"/>
            <w:sz w:val="24"/>
            <w:szCs w:val="24"/>
          </w:rPr>
          <m:t xml:space="preserve">+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bCs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Expunere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NZD</m:t>
                </m:r>
              </m:sub>
            </m:sSub>
          </m:e>
        </m:nary>
      </m:oMath>
      <w:r w:rsidRPr="002202F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unde</w:t>
      </w:r>
    </w:p>
    <w:p w14:paraId="1DBFDCE6" w14:textId="77777777" w:rsidR="00EA4C3B" w:rsidRPr="002202F9" w:rsidRDefault="00EA4C3B" w:rsidP="00EA4C3B">
      <w:pPr>
        <w:pStyle w:val="ListParagraph"/>
        <w:tabs>
          <w:tab w:val="left" w:pos="2148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48A3680" w14:textId="42F3AA41" w:rsidR="00EA4C3B" w:rsidRPr="002202F9" w:rsidRDefault="00EA4C3B" w:rsidP="00EA4C3B">
      <w:pPr>
        <w:pStyle w:val="ListParagraph"/>
        <w:numPr>
          <w:ilvl w:val="1"/>
          <w:numId w:val="28"/>
        </w:numPr>
        <w:tabs>
          <w:tab w:val="left" w:pos="2148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02F9">
        <w:rPr>
          <w:rFonts w:ascii="Times New Roman" w:eastAsiaTheme="minorEastAsia" w:hAnsi="Times New Roman" w:cs="Times New Roman"/>
          <w:bCs/>
          <w:sz w:val="24"/>
          <w:szCs w:val="24"/>
        </w:rPr>
        <w:t>Expunere</w:t>
      </w:r>
      <w:r w:rsidRPr="002202F9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 xml:space="preserve">ordine </w:t>
      </w:r>
      <w:r w:rsidRPr="002202F9">
        <w:rPr>
          <w:rFonts w:ascii="Times New Roman" w:eastAsiaTheme="minorEastAsia" w:hAnsi="Times New Roman" w:cs="Times New Roman"/>
          <w:bCs/>
          <w:sz w:val="24"/>
          <w:szCs w:val="24"/>
        </w:rPr>
        <w:t>înseamnă expunerea acumulată aferentă ordinelor plasate</w:t>
      </w:r>
      <w:r w:rsidR="00FF59BD" w:rsidRPr="002202F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de cump</w:t>
      </w:r>
      <w:r w:rsidR="004B464C">
        <w:rPr>
          <w:rFonts w:ascii="Times New Roman" w:eastAsiaTheme="minorEastAsia" w:hAnsi="Times New Roman" w:cs="Times New Roman"/>
          <w:bCs/>
          <w:sz w:val="24"/>
          <w:szCs w:val="24"/>
        </w:rPr>
        <w:t>ă</w:t>
      </w:r>
      <w:r w:rsidR="00FF59BD" w:rsidRPr="002202F9">
        <w:rPr>
          <w:rFonts w:ascii="Times New Roman" w:eastAsiaTheme="minorEastAsia" w:hAnsi="Times New Roman" w:cs="Times New Roman"/>
          <w:bCs/>
          <w:sz w:val="24"/>
          <w:szCs w:val="24"/>
        </w:rPr>
        <w:t>rare la pre</w:t>
      </w:r>
      <w:r w:rsidR="00625420">
        <w:rPr>
          <w:rFonts w:ascii="Times New Roman" w:eastAsiaTheme="minorEastAsia" w:hAnsi="Times New Roman" w:cs="Times New Roman"/>
          <w:bCs/>
          <w:sz w:val="24"/>
          <w:szCs w:val="24"/>
        </w:rPr>
        <w:t>ţ</w:t>
      </w:r>
      <w:r w:rsidR="00FF59BD" w:rsidRPr="002202F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pozitiv </w:t>
      </w:r>
      <w:r w:rsidR="004B464C">
        <w:rPr>
          <w:rFonts w:ascii="Times New Roman" w:eastAsiaTheme="minorEastAsia" w:hAnsi="Times New Roman" w:cs="Times New Roman"/>
          <w:bCs/>
          <w:sz w:val="24"/>
          <w:szCs w:val="24"/>
        </w:rPr>
        <w:t>ş</w:t>
      </w:r>
      <w:r w:rsidR="00FF59BD" w:rsidRPr="002202F9">
        <w:rPr>
          <w:rFonts w:ascii="Times New Roman" w:eastAsiaTheme="minorEastAsia" w:hAnsi="Times New Roman" w:cs="Times New Roman"/>
          <w:bCs/>
          <w:sz w:val="24"/>
          <w:szCs w:val="24"/>
        </w:rPr>
        <w:t xml:space="preserve">i de </w:t>
      </w:r>
      <w:r w:rsidR="004B464C" w:rsidRPr="002202F9">
        <w:rPr>
          <w:rFonts w:ascii="Times New Roman" w:eastAsiaTheme="minorEastAsia" w:hAnsi="Times New Roman" w:cs="Times New Roman"/>
          <w:bCs/>
          <w:sz w:val="24"/>
          <w:szCs w:val="24"/>
        </w:rPr>
        <w:t>v</w:t>
      </w:r>
      <w:r w:rsidR="004B464C">
        <w:rPr>
          <w:rFonts w:ascii="Times New Roman" w:eastAsiaTheme="minorEastAsia" w:hAnsi="Times New Roman" w:cs="Times New Roman"/>
          <w:bCs/>
          <w:sz w:val="24"/>
          <w:szCs w:val="24"/>
        </w:rPr>
        <w:t>â</w:t>
      </w:r>
      <w:r w:rsidR="004B464C" w:rsidRPr="002202F9">
        <w:rPr>
          <w:rFonts w:ascii="Times New Roman" w:eastAsiaTheme="minorEastAsia" w:hAnsi="Times New Roman" w:cs="Times New Roman"/>
          <w:bCs/>
          <w:sz w:val="24"/>
          <w:szCs w:val="24"/>
        </w:rPr>
        <w:t xml:space="preserve">nzare </w:t>
      </w:r>
      <w:r w:rsidR="00FF59BD" w:rsidRPr="002202F9">
        <w:rPr>
          <w:rFonts w:ascii="Times New Roman" w:eastAsiaTheme="minorEastAsia" w:hAnsi="Times New Roman" w:cs="Times New Roman"/>
          <w:bCs/>
          <w:sz w:val="24"/>
          <w:szCs w:val="24"/>
        </w:rPr>
        <w:t>la pre</w:t>
      </w:r>
      <w:r w:rsidR="004B464C">
        <w:rPr>
          <w:rFonts w:ascii="Times New Roman" w:eastAsiaTheme="minorEastAsia" w:hAnsi="Times New Roman" w:cs="Times New Roman"/>
          <w:bCs/>
          <w:sz w:val="24"/>
          <w:szCs w:val="24"/>
        </w:rPr>
        <w:t>ţ</w:t>
      </w:r>
      <w:r w:rsidR="00FF59BD" w:rsidRPr="002202F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negativ</w:t>
      </w:r>
      <w:r w:rsidRPr="002202F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14:paraId="2559C044" w14:textId="6B2F24E8" w:rsidR="00EA4C3B" w:rsidRPr="00C961E0" w:rsidRDefault="00EA4C3B" w:rsidP="00EA4C3B">
      <w:pPr>
        <w:pStyle w:val="ListParagraph"/>
        <w:numPr>
          <w:ilvl w:val="1"/>
          <w:numId w:val="28"/>
        </w:numPr>
        <w:tabs>
          <w:tab w:val="left" w:pos="2148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61E0">
        <w:rPr>
          <w:rFonts w:ascii="Times New Roman" w:eastAsiaTheme="minorEastAsia" w:hAnsi="Times New Roman" w:cs="Times New Roman"/>
          <w:bCs/>
          <w:sz w:val="24"/>
          <w:szCs w:val="24"/>
        </w:rPr>
        <w:t>Expunere</w:t>
      </w:r>
      <w:r w:rsidR="00FF59BD" w:rsidRPr="00C961E0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tranzac</w:t>
      </w:r>
      <w:r w:rsidR="00625420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ţ</w:t>
      </w:r>
      <w:r w:rsidR="00FF59BD" w:rsidRPr="00C961E0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 xml:space="preserve">ii nedecontate </w:t>
      </w:r>
      <w:r w:rsidRPr="00C961E0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 xml:space="preserve"> </w:t>
      </w:r>
      <w:r w:rsidRPr="00C961E0">
        <w:rPr>
          <w:rFonts w:ascii="Times New Roman" w:eastAsiaTheme="minorEastAsia" w:hAnsi="Times New Roman" w:cs="Times New Roman"/>
          <w:bCs/>
          <w:sz w:val="24"/>
          <w:szCs w:val="24"/>
        </w:rPr>
        <w:t xml:space="preserve">înseamnă expunerea acumulată aferentă tranzacțiilor </w:t>
      </w:r>
      <w:r w:rsidR="00FF59BD" w:rsidRPr="00C961E0">
        <w:rPr>
          <w:rFonts w:ascii="Times New Roman" w:eastAsiaTheme="minorEastAsia" w:hAnsi="Times New Roman" w:cs="Times New Roman"/>
          <w:bCs/>
          <w:sz w:val="24"/>
          <w:szCs w:val="24"/>
        </w:rPr>
        <w:t>de cump</w:t>
      </w:r>
      <w:r w:rsidR="004B464C">
        <w:rPr>
          <w:rFonts w:ascii="Times New Roman" w:eastAsiaTheme="minorEastAsia" w:hAnsi="Times New Roman" w:cs="Times New Roman"/>
          <w:bCs/>
          <w:sz w:val="24"/>
          <w:szCs w:val="24"/>
        </w:rPr>
        <w:t>ă</w:t>
      </w:r>
      <w:r w:rsidR="00FF59BD" w:rsidRPr="00C961E0">
        <w:rPr>
          <w:rFonts w:ascii="Times New Roman" w:eastAsiaTheme="minorEastAsia" w:hAnsi="Times New Roman" w:cs="Times New Roman"/>
          <w:bCs/>
          <w:sz w:val="24"/>
          <w:szCs w:val="24"/>
        </w:rPr>
        <w:t>rare la pre</w:t>
      </w:r>
      <w:r w:rsidR="004B464C">
        <w:rPr>
          <w:rFonts w:ascii="Times New Roman" w:eastAsiaTheme="minorEastAsia" w:hAnsi="Times New Roman" w:cs="Times New Roman"/>
          <w:bCs/>
          <w:sz w:val="24"/>
          <w:szCs w:val="24"/>
        </w:rPr>
        <w:t>ţ</w:t>
      </w:r>
      <w:r w:rsidR="00FF59BD" w:rsidRPr="00C961E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pozitiv </w:t>
      </w:r>
      <w:r w:rsidR="004B464C">
        <w:rPr>
          <w:rFonts w:ascii="Times New Roman" w:eastAsiaTheme="minorEastAsia" w:hAnsi="Times New Roman" w:cs="Times New Roman"/>
          <w:bCs/>
          <w:sz w:val="24"/>
          <w:szCs w:val="24"/>
        </w:rPr>
        <w:t>ş</w:t>
      </w:r>
      <w:r w:rsidR="00FF59BD" w:rsidRPr="00C961E0">
        <w:rPr>
          <w:rFonts w:ascii="Times New Roman" w:eastAsiaTheme="minorEastAsia" w:hAnsi="Times New Roman" w:cs="Times New Roman"/>
          <w:bCs/>
          <w:sz w:val="24"/>
          <w:szCs w:val="24"/>
        </w:rPr>
        <w:t xml:space="preserve">i de </w:t>
      </w:r>
      <w:r w:rsidR="004B464C" w:rsidRPr="00C961E0">
        <w:rPr>
          <w:rFonts w:ascii="Times New Roman" w:eastAsiaTheme="minorEastAsia" w:hAnsi="Times New Roman" w:cs="Times New Roman"/>
          <w:bCs/>
          <w:sz w:val="24"/>
          <w:szCs w:val="24"/>
        </w:rPr>
        <w:t>v</w:t>
      </w:r>
      <w:r w:rsidR="004B464C">
        <w:rPr>
          <w:rFonts w:ascii="Times New Roman" w:eastAsiaTheme="minorEastAsia" w:hAnsi="Times New Roman" w:cs="Times New Roman"/>
          <w:bCs/>
          <w:sz w:val="24"/>
          <w:szCs w:val="24"/>
        </w:rPr>
        <w:t>â</w:t>
      </w:r>
      <w:r w:rsidR="004B464C" w:rsidRPr="00C961E0">
        <w:rPr>
          <w:rFonts w:ascii="Times New Roman" w:eastAsiaTheme="minorEastAsia" w:hAnsi="Times New Roman" w:cs="Times New Roman"/>
          <w:bCs/>
          <w:sz w:val="24"/>
          <w:szCs w:val="24"/>
        </w:rPr>
        <w:t xml:space="preserve">nzare </w:t>
      </w:r>
      <w:r w:rsidR="00FF59BD" w:rsidRPr="00C961E0">
        <w:rPr>
          <w:rFonts w:ascii="Times New Roman" w:eastAsiaTheme="minorEastAsia" w:hAnsi="Times New Roman" w:cs="Times New Roman"/>
          <w:bCs/>
          <w:sz w:val="24"/>
          <w:szCs w:val="24"/>
        </w:rPr>
        <w:t>la pre</w:t>
      </w:r>
      <w:r w:rsidR="004B464C">
        <w:rPr>
          <w:rFonts w:ascii="Times New Roman" w:eastAsiaTheme="minorEastAsia" w:hAnsi="Times New Roman" w:cs="Times New Roman"/>
          <w:bCs/>
          <w:sz w:val="24"/>
          <w:szCs w:val="24"/>
        </w:rPr>
        <w:t>ţ</w:t>
      </w:r>
      <w:r w:rsidR="00FF59BD" w:rsidRPr="00C961E0">
        <w:rPr>
          <w:rFonts w:ascii="Times New Roman" w:eastAsiaTheme="minorEastAsia" w:hAnsi="Times New Roman" w:cs="Times New Roman"/>
          <w:bCs/>
          <w:sz w:val="24"/>
          <w:szCs w:val="24"/>
        </w:rPr>
        <w:t xml:space="preserve"> negativ pentru care nu este ini</w:t>
      </w:r>
      <w:r w:rsidR="004B464C">
        <w:rPr>
          <w:rFonts w:ascii="Times New Roman" w:eastAsiaTheme="minorEastAsia" w:hAnsi="Times New Roman" w:cs="Times New Roman"/>
          <w:bCs/>
          <w:sz w:val="24"/>
          <w:szCs w:val="24"/>
        </w:rPr>
        <w:t>ţ</w:t>
      </w:r>
      <w:r w:rsidR="00FF59BD" w:rsidRPr="00C961E0">
        <w:rPr>
          <w:rFonts w:ascii="Times New Roman" w:eastAsiaTheme="minorEastAsia" w:hAnsi="Times New Roman" w:cs="Times New Roman"/>
          <w:bCs/>
          <w:sz w:val="24"/>
          <w:szCs w:val="24"/>
        </w:rPr>
        <w:t xml:space="preserve">iat procesul de decontare </w:t>
      </w:r>
    </w:p>
    <w:p w14:paraId="7F31BC87" w14:textId="79CA5C26" w:rsidR="00EA4C3B" w:rsidRPr="002202F9" w:rsidRDefault="00EA4C3B" w:rsidP="00EA4C3B">
      <w:pPr>
        <w:pStyle w:val="ListParagraph"/>
        <w:numPr>
          <w:ilvl w:val="1"/>
          <w:numId w:val="28"/>
        </w:numPr>
        <w:tabs>
          <w:tab w:val="left" w:pos="2148"/>
        </w:tabs>
        <w:spacing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02F9">
        <w:rPr>
          <w:rFonts w:ascii="Times New Roman" w:eastAsiaTheme="minorEastAsia" w:hAnsi="Times New Roman" w:cs="Times New Roman"/>
          <w:bCs/>
          <w:sz w:val="24"/>
          <w:szCs w:val="24"/>
        </w:rPr>
        <w:t>Expunere</w:t>
      </w:r>
      <w:r w:rsidR="0071639F" w:rsidRPr="002202F9">
        <w:rPr>
          <w:rFonts w:ascii="Times New Roman" w:eastAsiaTheme="minorEastAsia" w:hAnsi="Times New Roman" w:cs="Times New Roman"/>
          <w:bCs/>
          <w:sz w:val="24"/>
          <w:szCs w:val="24"/>
          <w:vertAlign w:val="subscript"/>
        </w:rPr>
        <w:t>NZD</w:t>
      </w:r>
      <w:r w:rsidR="00FF59BD" w:rsidRPr="002202F9">
        <w:rPr>
          <w:rFonts w:ascii="Times New Roman" w:eastAsiaTheme="minorEastAsia" w:hAnsi="Times New Roman" w:cs="Times New Roman"/>
          <w:bCs/>
          <w:sz w:val="24"/>
          <w:szCs w:val="24"/>
        </w:rPr>
        <w:t xml:space="preserve">- </w:t>
      </w:r>
      <w:r w:rsidRPr="002202F9">
        <w:rPr>
          <w:rFonts w:ascii="Times New Roman" w:eastAsiaTheme="minorEastAsia" w:hAnsi="Times New Roman" w:cs="Times New Roman"/>
          <w:bCs/>
          <w:sz w:val="24"/>
          <w:szCs w:val="24"/>
        </w:rPr>
        <w:t>înseamnă expunerea acumulată aferentă obliga</w:t>
      </w:r>
      <w:r w:rsidR="00ED6179">
        <w:rPr>
          <w:rFonts w:ascii="Times New Roman" w:eastAsiaTheme="minorEastAsia" w:hAnsi="Times New Roman" w:cs="Times New Roman"/>
          <w:bCs/>
          <w:sz w:val="24"/>
          <w:szCs w:val="24"/>
        </w:rPr>
        <w:t>ţ</w:t>
      </w:r>
      <w:r w:rsidRPr="002202F9">
        <w:rPr>
          <w:rFonts w:ascii="Times New Roman" w:eastAsiaTheme="minorEastAsia" w:hAnsi="Times New Roman" w:cs="Times New Roman"/>
          <w:bCs/>
          <w:sz w:val="24"/>
          <w:szCs w:val="24"/>
        </w:rPr>
        <w:t xml:space="preserve">iilor </w:t>
      </w:r>
      <w:r w:rsidR="00342447" w:rsidRPr="002202F9">
        <w:rPr>
          <w:rFonts w:ascii="Times New Roman" w:eastAsiaTheme="minorEastAsia" w:hAnsi="Times New Roman" w:cs="Times New Roman"/>
          <w:bCs/>
          <w:sz w:val="24"/>
          <w:szCs w:val="24"/>
        </w:rPr>
        <w:t>de plat</w:t>
      </w:r>
      <w:r w:rsidR="004B464C">
        <w:rPr>
          <w:rFonts w:ascii="Times New Roman" w:eastAsiaTheme="minorEastAsia" w:hAnsi="Times New Roman" w:cs="Times New Roman"/>
          <w:bCs/>
          <w:sz w:val="24"/>
          <w:szCs w:val="24"/>
        </w:rPr>
        <w:t>ă</w:t>
      </w:r>
      <w:r w:rsidR="00342447" w:rsidRPr="002202F9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2202F9">
        <w:rPr>
          <w:rFonts w:ascii="Times New Roman" w:eastAsiaTheme="minorEastAsia" w:hAnsi="Times New Roman" w:cs="Times New Roman"/>
          <w:bCs/>
          <w:sz w:val="24"/>
          <w:szCs w:val="24"/>
        </w:rPr>
        <w:t xml:space="preserve">din tranzacțiile </w:t>
      </w:r>
      <w:r w:rsidR="0030316A">
        <w:rPr>
          <w:rFonts w:ascii="Times New Roman" w:eastAsiaTheme="minorEastAsia" w:hAnsi="Times New Roman" w:cs="Times New Roman"/>
          <w:bCs/>
          <w:sz w:val="24"/>
          <w:szCs w:val="24"/>
        </w:rPr>
        <w:t>î</w:t>
      </w:r>
      <w:r w:rsidRPr="002202F9">
        <w:rPr>
          <w:rFonts w:ascii="Times New Roman" w:eastAsiaTheme="minorEastAsia" w:hAnsi="Times New Roman" w:cs="Times New Roman"/>
          <w:bCs/>
          <w:sz w:val="24"/>
          <w:szCs w:val="24"/>
        </w:rPr>
        <w:t xml:space="preserve">ncheiate </w:t>
      </w:r>
      <w:r w:rsidR="004B464C">
        <w:rPr>
          <w:rFonts w:ascii="Times New Roman" w:eastAsiaTheme="minorEastAsia" w:hAnsi="Times New Roman" w:cs="Times New Roman"/>
          <w:bCs/>
          <w:sz w:val="24"/>
          <w:szCs w:val="24"/>
        </w:rPr>
        <w:t>ş</w:t>
      </w:r>
      <w:r w:rsidR="0071639F" w:rsidRPr="002202F9">
        <w:rPr>
          <w:rFonts w:ascii="Times New Roman" w:eastAsiaTheme="minorEastAsia" w:hAnsi="Times New Roman" w:cs="Times New Roman"/>
          <w:bCs/>
          <w:sz w:val="24"/>
          <w:szCs w:val="24"/>
        </w:rPr>
        <w:t xml:space="preserve">i </w:t>
      </w:r>
      <w:r w:rsidR="004B464C">
        <w:rPr>
          <w:rFonts w:ascii="Times New Roman" w:eastAsiaTheme="minorEastAsia" w:hAnsi="Times New Roman" w:cs="Times New Roman"/>
          <w:bCs/>
          <w:sz w:val="24"/>
          <w:szCs w:val="24"/>
        </w:rPr>
        <w:t>î</w:t>
      </w:r>
      <w:r w:rsidR="0071639F" w:rsidRPr="002202F9">
        <w:rPr>
          <w:rFonts w:ascii="Times New Roman" w:eastAsiaTheme="minorEastAsia" w:hAnsi="Times New Roman" w:cs="Times New Roman"/>
          <w:bCs/>
          <w:sz w:val="24"/>
          <w:szCs w:val="24"/>
        </w:rPr>
        <w:t xml:space="preserve">n curs de decontare </w:t>
      </w:r>
      <w:r w:rsidRPr="002202F9">
        <w:rPr>
          <w:rFonts w:ascii="Times New Roman" w:eastAsiaTheme="minorEastAsia" w:hAnsi="Times New Roman" w:cs="Times New Roman"/>
          <w:bCs/>
          <w:sz w:val="24"/>
          <w:szCs w:val="24"/>
        </w:rPr>
        <w:t>conform NZD</w:t>
      </w:r>
    </w:p>
    <w:p w14:paraId="3C63F4A1" w14:textId="77777777" w:rsidR="00EA4C3B" w:rsidRPr="002202F9" w:rsidRDefault="00EA4C3B" w:rsidP="00EA4C3B">
      <w:pPr>
        <w:tabs>
          <w:tab w:val="left" w:pos="2148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BAB8C78" w14:textId="6FA330C6" w:rsidR="001D50BB" w:rsidRPr="00C961E0" w:rsidRDefault="0071639F" w:rsidP="0030316A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61E0">
        <w:rPr>
          <w:rFonts w:ascii="Times New Roman" w:hAnsi="Times New Roman" w:cs="Times New Roman"/>
          <w:iCs/>
          <w:sz w:val="24"/>
          <w:szCs w:val="24"/>
        </w:rPr>
        <w:tab/>
      </w:r>
      <w:r w:rsidR="00EA4C3B" w:rsidRPr="00C961E0">
        <w:rPr>
          <w:rFonts w:ascii="Times New Roman" w:hAnsi="Times New Roman" w:cs="Times New Roman"/>
          <w:iCs/>
          <w:sz w:val="24"/>
          <w:szCs w:val="24"/>
        </w:rPr>
        <w:t>Expunere</w:t>
      </w:r>
      <w:r w:rsidR="00CF66C4" w:rsidRPr="00C961E0">
        <w:rPr>
          <w:rFonts w:ascii="Times New Roman" w:hAnsi="Times New Roman" w:cs="Times New Roman"/>
          <w:iCs/>
          <w:sz w:val="24"/>
          <w:szCs w:val="24"/>
        </w:rPr>
        <w:t xml:space="preserve">a pe </w:t>
      </w:r>
      <w:r w:rsidR="000F6808">
        <w:rPr>
          <w:rFonts w:ascii="Times New Roman" w:hAnsi="Times New Roman" w:cs="Times New Roman"/>
          <w:iCs/>
          <w:sz w:val="24"/>
          <w:szCs w:val="24"/>
        </w:rPr>
        <w:t xml:space="preserve">PZU și </w:t>
      </w:r>
      <w:r w:rsidR="00CF66C4" w:rsidRPr="00C961E0">
        <w:rPr>
          <w:rFonts w:ascii="Times New Roman" w:hAnsi="Times New Roman" w:cs="Times New Roman"/>
          <w:iCs/>
          <w:sz w:val="24"/>
          <w:szCs w:val="24"/>
        </w:rPr>
        <w:t xml:space="preserve">PI </w:t>
      </w:r>
      <w:r w:rsidR="00EA4C3B" w:rsidRPr="00C961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464C" w:rsidRPr="00C961E0">
        <w:rPr>
          <w:rFonts w:ascii="Times New Roman" w:hAnsi="Times New Roman" w:cs="Times New Roman"/>
          <w:iCs/>
          <w:sz w:val="24"/>
          <w:szCs w:val="24"/>
        </w:rPr>
        <w:t>rezultat</w:t>
      </w:r>
      <w:r w:rsidR="004B464C">
        <w:rPr>
          <w:rFonts w:ascii="Times New Roman" w:hAnsi="Times New Roman" w:cs="Times New Roman"/>
          <w:iCs/>
          <w:sz w:val="24"/>
          <w:szCs w:val="24"/>
        </w:rPr>
        <w:t>ă</w:t>
      </w:r>
      <w:r w:rsidR="004B464C" w:rsidRPr="00C961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F66C4" w:rsidRPr="00C961E0">
        <w:rPr>
          <w:rFonts w:ascii="Times New Roman" w:hAnsi="Times New Roman" w:cs="Times New Roman"/>
          <w:iCs/>
          <w:sz w:val="24"/>
          <w:szCs w:val="24"/>
        </w:rPr>
        <w:t>din activitatea de tranzac</w:t>
      </w:r>
      <w:r w:rsidR="004B464C">
        <w:rPr>
          <w:rFonts w:ascii="Times New Roman" w:hAnsi="Times New Roman" w:cs="Times New Roman"/>
          <w:iCs/>
          <w:sz w:val="24"/>
          <w:szCs w:val="24"/>
        </w:rPr>
        <w:t>ţ</w:t>
      </w:r>
      <w:r w:rsidR="00CF66C4" w:rsidRPr="00C961E0">
        <w:rPr>
          <w:rFonts w:ascii="Times New Roman" w:hAnsi="Times New Roman" w:cs="Times New Roman"/>
          <w:iCs/>
          <w:sz w:val="24"/>
          <w:szCs w:val="24"/>
        </w:rPr>
        <w:t xml:space="preserve">ionare </w:t>
      </w:r>
      <w:r w:rsidR="00EA4C3B" w:rsidRPr="00C961E0">
        <w:rPr>
          <w:rFonts w:ascii="Times New Roman" w:hAnsi="Times New Roman" w:cs="Times New Roman"/>
          <w:iCs/>
          <w:sz w:val="24"/>
          <w:szCs w:val="24"/>
        </w:rPr>
        <w:t xml:space="preserve">se calculează </w:t>
      </w:r>
      <w:r w:rsidR="00CF66C4" w:rsidRPr="00C961E0">
        <w:rPr>
          <w:rFonts w:ascii="Times New Roman" w:hAnsi="Times New Roman" w:cs="Times New Roman"/>
          <w:iCs/>
          <w:sz w:val="24"/>
          <w:szCs w:val="24"/>
        </w:rPr>
        <w:t xml:space="preserve">pentru ordinele </w:t>
      </w:r>
      <w:r w:rsidR="004B464C">
        <w:rPr>
          <w:rFonts w:ascii="Times New Roman" w:hAnsi="Times New Roman" w:cs="Times New Roman"/>
          <w:iCs/>
          <w:sz w:val="24"/>
          <w:szCs w:val="24"/>
        </w:rPr>
        <w:t>ş</w:t>
      </w:r>
      <w:r w:rsidR="00CF66C4" w:rsidRPr="00C961E0">
        <w:rPr>
          <w:rFonts w:ascii="Times New Roman" w:hAnsi="Times New Roman" w:cs="Times New Roman"/>
          <w:iCs/>
          <w:sz w:val="24"/>
          <w:szCs w:val="24"/>
        </w:rPr>
        <w:t>i tranzac</w:t>
      </w:r>
      <w:r w:rsidR="004B464C">
        <w:rPr>
          <w:rFonts w:ascii="Times New Roman" w:hAnsi="Times New Roman" w:cs="Times New Roman"/>
          <w:iCs/>
          <w:sz w:val="24"/>
          <w:szCs w:val="24"/>
        </w:rPr>
        <w:t>ţ</w:t>
      </w:r>
      <w:r w:rsidR="00CF66C4" w:rsidRPr="00C961E0">
        <w:rPr>
          <w:rFonts w:ascii="Times New Roman" w:hAnsi="Times New Roman" w:cs="Times New Roman"/>
          <w:iCs/>
          <w:sz w:val="24"/>
          <w:szCs w:val="24"/>
        </w:rPr>
        <w:t xml:space="preserve">iile </w:t>
      </w:r>
      <w:r w:rsidR="004B464C">
        <w:rPr>
          <w:rFonts w:ascii="Times New Roman" w:hAnsi="Times New Roman" w:cs="Times New Roman"/>
          <w:iCs/>
          <w:sz w:val="24"/>
          <w:szCs w:val="24"/>
        </w:rPr>
        <w:t>î</w:t>
      </w:r>
      <w:r w:rsidR="00CF66C4" w:rsidRPr="00C961E0">
        <w:rPr>
          <w:rFonts w:ascii="Times New Roman" w:hAnsi="Times New Roman" w:cs="Times New Roman"/>
          <w:iCs/>
          <w:sz w:val="24"/>
          <w:szCs w:val="24"/>
        </w:rPr>
        <w:t xml:space="preserve">ncheiate </w:t>
      </w:r>
      <w:r w:rsidR="004B464C" w:rsidRPr="00C961E0">
        <w:rPr>
          <w:rFonts w:ascii="Times New Roman" w:hAnsi="Times New Roman" w:cs="Times New Roman"/>
          <w:iCs/>
          <w:sz w:val="24"/>
          <w:szCs w:val="24"/>
        </w:rPr>
        <w:t>tin</w:t>
      </w:r>
      <w:r w:rsidR="004B464C">
        <w:rPr>
          <w:rFonts w:ascii="Times New Roman" w:hAnsi="Times New Roman" w:cs="Times New Roman"/>
          <w:iCs/>
          <w:sz w:val="24"/>
          <w:szCs w:val="24"/>
        </w:rPr>
        <w:t>â</w:t>
      </w:r>
      <w:r w:rsidR="004B464C" w:rsidRPr="00C961E0">
        <w:rPr>
          <w:rFonts w:ascii="Times New Roman" w:hAnsi="Times New Roman" w:cs="Times New Roman"/>
          <w:iCs/>
          <w:sz w:val="24"/>
          <w:szCs w:val="24"/>
        </w:rPr>
        <w:t xml:space="preserve">nd </w:t>
      </w:r>
      <w:r w:rsidR="00CF66C4" w:rsidRPr="00C961E0">
        <w:rPr>
          <w:rFonts w:ascii="Times New Roman" w:hAnsi="Times New Roman" w:cs="Times New Roman"/>
          <w:iCs/>
          <w:sz w:val="24"/>
          <w:szCs w:val="24"/>
        </w:rPr>
        <w:t>cont</w:t>
      </w:r>
      <w:r w:rsidRPr="00C961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67EA">
        <w:rPr>
          <w:rFonts w:ascii="Times New Roman" w:hAnsi="Times New Roman" w:cs="Times New Roman"/>
          <w:iCs/>
          <w:sz w:val="24"/>
          <w:szCs w:val="24"/>
        </w:rPr>
        <w:t xml:space="preserve">în cazul ordinelor </w:t>
      </w:r>
      <w:r w:rsidRPr="00C961E0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CF66C4" w:rsidRPr="00C961E0">
        <w:rPr>
          <w:rFonts w:ascii="Times New Roman" w:hAnsi="Times New Roman" w:cs="Times New Roman"/>
          <w:iCs/>
          <w:sz w:val="24"/>
          <w:szCs w:val="24"/>
        </w:rPr>
        <w:t xml:space="preserve">conversia </w:t>
      </w:r>
      <w:r w:rsidR="004B464C">
        <w:rPr>
          <w:rFonts w:ascii="Times New Roman" w:hAnsi="Times New Roman" w:cs="Times New Roman"/>
          <w:iCs/>
          <w:sz w:val="24"/>
          <w:szCs w:val="24"/>
        </w:rPr>
        <w:t>î</w:t>
      </w:r>
      <w:r w:rsidR="00CF66C4" w:rsidRPr="00C961E0">
        <w:rPr>
          <w:rFonts w:ascii="Times New Roman" w:hAnsi="Times New Roman" w:cs="Times New Roman"/>
          <w:iCs/>
          <w:sz w:val="24"/>
          <w:szCs w:val="24"/>
        </w:rPr>
        <w:t>ntre moneda</w:t>
      </w:r>
      <w:r w:rsidR="004B464C">
        <w:rPr>
          <w:rFonts w:ascii="Times New Roman" w:hAnsi="Times New Roman" w:cs="Times New Roman"/>
          <w:iCs/>
          <w:sz w:val="24"/>
          <w:szCs w:val="24"/>
        </w:rPr>
        <w:t xml:space="preserve"> de</w:t>
      </w:r>
      <w:r w:rsidR="00CF66C4" w:rsidRPr="00C961E0">
        <w:rPr>
          <w:rFonts w:ascii="Times New Roman" w:hAnsi="Times New Roman" w:cs="Times New Roman"/>
          <w:iCs/>
          <w:sz w:val="24"/>
          <w:szCs w:val="24"/>
        </w:rPr>
        <w:t xml:space="preserve"> tranzac</w:t>
      </w:r>
      <w:r w:rsidR="004B464C">
        <w:rPr>
          <w:rFonts w:ascii="Times New Roman" w:hAnsi="Times New Roman" w:cs="Times New Roman"/>
          <w:iCs/>
          <w:sz w:val="24"/>
          <w:szCs w:val="24"/>
        </w:rPr>
        <w:t>ţ</w:t>
      </w:r>
      <w:r w:rsidR="00CF66C4" w:rsidRPr="00C961E0">
        <w:rPr>
          <w:rFonts w:ascii="Times New Roman" w:hAnsi="Times New Roman" w:cs="Times New Roman"/>
          <w:iCs/>
          <w:sz w:val="24"/>
          <w:szCs w:val="24"/>
        </w:rPr>
        <w:t xml:space="preserve">ionare, respectiv </w:t>
      </w:r>
      <w:r w:rsidR="005A67EA">
        <w:rPr>
          <w:rFonts w:ascii="Times New Roman" w:hAnsi="Times New Roman" w:cs="Times New Roman"/>
          <w:iCs/>
          <w:sz w:val="24"/>
          <w:szCs w:val="24"/>
        </w:rPr>
        <w:t>RON</w:t>
      </w:r>
      <w:r w:rsidR="005A67EA" w:rsidRPr="00C961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464C">
        <w:rPr>
          <w:rFonts w:ascii="Times New Roman" w:hAnsi="Times New Roman" w:cs="Times New Roman"/>
          <w:iCs/>
          <w:sz w:val="24"/>
          <w:szCs w:val="24"/>
        </w:rPr>
        <w:t>ş</w:t>
      </w:r>
      <w:r w:rsidR="004B464C" w:rsidRPr="00C961E0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690500" w:rsidRPr="00C961E0">
        <w:rPr>
          <w:rFonts w:ascii="Times New Roman" w:hAnsi="Times New Roman" w:cs="Times New Roman"/>
          <w:iCs/>
          <w:sz w:val="24"/>
          <w:szCs w:val="24"/>
        </w:rPr>
        <w:t>moneda de denominar</w:t>
      </w:r>
      <w:r w:rsidR="005A67EA">
        <w:rPr>
          <w:rFonts w:ascii="Times New Roman" w:hAnsi="Times New Roman" w:cs="Times New Roman"/>
          <w:iCs/>
          <w:sz w:val="24"/>
          <w:szCs w:val="24"/>
        </w:rPr>
        <w:t>e Euro aferentă</w:t>
      </w:r>
      <w:r w:rsidR="00690500" w:rsidRPr="00C961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67EA">
        <w:rPr>
          <w:rFonts w:ascii="Times New Roman" w:hAnsi="Times New Roman" w:cs="Times New Roman"/>
          <w:iCs/>
          <w:sz w:val="24"/>
          <w:szCs w:val="24"/>
        </w:rPr>
        <w:t>prețului de execuție rezultat din algorimul de cuplare Euphemia, la</w:t>
      </w:r>
      <w:r w:rsidR="00690500" w:rsidRPr="00C961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A67EA">
        <w:rPr>
          <w:rFonts w:ascii="Times New Roman" w:hAnsi="Times New Roman" w:cs="Times New Roman"/>
          <w:iCs/>
          <w:sz w:val="24"/>
          <w:szCs w:val="24"/>
        </w:rPr>
        <w:t xml:space="preserve">cursul publicat de </w:t>
      </w:r>
      <w:r w:rsidR="00690500" w:rsidRPr="00C961E0">
        <w:rPr>
          <w:rFonts w:ascii="Times New Roman" w:hAnsi="Times New Roman" w:cs="Times New Roman"/>
          <w:iCs/>
          <w:sz w:val="24"/>
          <w:szCs w:val="24"/>
        </w:rPr>
        <w:t>BNR pentru Euro/</w:t>
      </w:r>
      <w:r w:rsidR="004B464C">
        <w:rPr>
          <w:rFonts w:ascii="Times New Roman" w:hAnsi="Times New Roman" w:cs="Times New Roman"/>
          <w:iCs/>
          <w:sz w:val="24"/>
          <w:szCs w:val="24"/>
        </w:rPr>
        <w:t>Ron</w:t>
      </w:r>
      <w:r w:rsidR="005A67EA">
        <w:rPr>
          <w:rFonts w:ascii="Times New Roman" w:hAnsi="Times New Roman" w:cs="Times New Roman"/>
          <w:iCs/>
          <w:sz w:val="24"/>
          <w:szCs w:val="24"/>
        </w:rPr>
        <w:t xml:space="preserve"> in ziua bancară precedentă zilei de tranzacționare</w:t>
      </w:r>
      <w:r w:rsidRPr="00C961E0">
        <w:rPr>
          <w:rFonts w:ascii="Times New Roman" w:hAnsi="Times New Roman" w:cs="Times New Roman"/>
          <w:iCs/>
          <w:sz w:val="24"/>
          <w:szCs w:val="24"/>
        </w:rPr>
        <w:t>, astfel:</w:t>
      </w:r>
    </w:p>
    <w:p w14:paraId="3DBAD988" w14:textId="40DC9F4E" w:rsidR="00EA4C3B" w:rsidRPr="002202F9" w:rsidRDefault="00EA4C3B" w:rsidP="00EA4C3B">
      <w:pPr>
        <w:tabs>
          <w:tab w:val="left" w:pos="2148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Expunere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Cantitate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×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Preț</m:t>
          </m:r>
        </m:oMath>
      </m:oMathPara>
    </w:p>
    <w:p w14:paraId="44381245" w14:textId="77777777" w:rsidR="00EA4C3B" w:rsidRPr="002202F9" w:rsidRDefault="00EA4C3B" w:rsidP="00EA4C3B">
      <w:pPr>
        <w:tabs>
          <w:tab w:val="left" w:pos="2148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02F9">
        <w:rPr>
          <w:rFonts w:ascii="Times New Roman" w:eastAsiaTheme="minorEastAsia" w:hAnsi="Times New Roman" w:cs="Times New Roman"/>
          <w:sz w:val="24"/>
          <w:szCs w:val="24"/>
        </w:rPr>
        <w:t xml:space="preserve">unde, </w:t>
      </w:r>
    </w:p>
    <w:p w14:paraId="3621AF11" w14:textId="722CC973" w:rsidR="00EA4C3B" w:rsidRPr="002202F9" w:rsidRDefault="00EA4C3B" w:rsidP="00EA4C3B">
      <w:pPr>
        <w:pStyle w:val="ListParagraph"/>
        <w:numPr>
          <w:ilvl w:val="0"/>
          <w:numId w:val="29"/>
        </w:numPr>
        <w:tabs>
          <w:tab w:val="left" w:pos="21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b/>
          <w:bCs/>
          <w:sz w:val="24"/>
          <w:szCs w:val="24"/>
        </w:rPr>
        <w:t>Cantitatea</w:t>
      </w:r>
      <w:r w:rsidRPr="002202F9">
        <w:rPr>
          <w:rFonts w:ascii="Times New Roman" w:hAnsi="Times New Roman" w:cs="Times New Roman"/>
          <w:sz w:val="24"/>
          <w:szCs w:val="24"/>
        </w:rPr>
        <w:t xml:space="preserve"> este măsurată în </w:t>
      </w:r>
      <w:r w:rsidRPr="002202F9">
        <w:rPr>
          <w:rFonts w:ascii="Times New Roman" w:hAnsi="Times New Roman" w:cs="Times New Roman"/>
          <w:b/>
          <w:bCs/>
          <w:sz w:val="24"/>
          <w:szCs w:val="24"/>
        </w:rPr>
        <w:t>MWh</w:t>
      </w:r>
      <w:r w:rsidRPr="002202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45FC63" w14:textId="6292FCCF" w:rsidR="00EA4C3B" w:rsidRPr="002202F9" w:rsidRDefault="00EA4C3B" w:rsidP="00EA4C3B">
      <w:pPr>
        <w:pStyle w:val="ListParagraph"/>
        <w:numPr>
          <w:ilvl w:val="0"/>
          <w:numId w:val="29"/>
        </w:numPr>
        <w:tabs>
          <w:tab w:val="left" w:pos="21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Prețul</w:t>
      </w:r>
      <w:r w:rsidRPr="002202F9">
        <w:rPr>
          <w:rFonts w:ascii="Times New Roman" w:hAnsi="Times New Roman" w:cs="Times New Roman"/>
          <w:sz w:val="24"/>
          <w:szCs w:val="24"/>
        </w:rPr>
        <w:t xml:space="preserve"> este exprimat în </w:t>
      </w:r>
      <w:r w:rsidR="00743C94">
        <w:rPr>
          <w:rFonts w:ascii="Times New Roman" w:hAnsi="Times New Roman" w:cs="Times New Roman"/>
          <w:b/>
          <w:bCs/>
          <w:sz w:val="24"/>
          <w:szCs w:val="24"/>
        </w:rPr>
        <w:t>RON</w:t>
      </w:r>
      <w:r w:rsidRPr="002202F9">
        <w:rPr>
          <w:rFonts w:ascii="Times New Roman" w:hAnsi="Times New Roman" w:cs="Times New Roman"/>
          <w:b/>
          <w:bCs/>
          <w:sz w:val="24"/>
          <w:szCs w:val="24"/>
        </w:rPr>
        <w:t xml:space="preserve">/MWh </w:t>
      </w:r>
      <w:r w:rsidRPr="002202F9">
        <w:rPr>
          <w:rFonts w:ascii="Times New Roman" w:hAnsi="Times New Roman" w:cs="Times New Roman"/>
          <w:sz w:val="24"/>
          <w:szCs w:val="24"/>
        </w:rPr>
        <w:t>și este:</w:t>
      </w:r>
    </w:p>
    <w:p w14:paraId="28F03A4F" w14:textId="77777777" w:rsidR="00EA4C3B" w:rsidRPr="00C961E0" w:rsidRDefault="00EA4C3B" w:rsidP="00EA4C3B">
      <w:pPr>
        <w:pStyle w:val="ListParagraph"/>
        <w:numPr>
          <w:ilvl w:val="1"/>
          <w:numId w:val="29"/>
        </w:numPr>
        <w:tabs>
          <w:tab w:val="left" w:pos="21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61E0">
        <w:rPr>
          <w:rFonts w:ascii="Times New Roman" w:hAnsi="Times New Roman" w:cs="Times New Roman"/>
          <w:sz w:val="24"/>
          <w:szCs w:val="24"/>
        </w:rPr>
        <w:t>prețul maxim la care un cumpărător este dispus să cumpere conform ordinului de cumpărare plasat în platforma de tranzacționare, sau</w:t>
      </w:r>
    </w:p>
    <w:p w14:paraId="22F9A219" w14:textId="77777777" w:rsidR="00EA4C3B" w:rsidRPr="00C961E0" w:rsidRDefault="00EA4C3B" w:rsidP="00EA4C3B">
      <w:pPr>
        <w:pStyle w:val="ListParagraph"/>
        <w:numPr>
          <w:ilvl w:val="1"/>
          <w:numId w:val="29"/>
        </w:numPr>
        <w:tabs>
          <w:tab w:val="left" w:pos="21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61E0">
        <w:rPr>
          <w:rFonts w:ascii="Times New Roman" w:hAnsi="Times New Roman" w:cs="Times New Roman"/>
          <w:sz w:val="24"/>
          <w:szCs w:val="24"/>
        </w:rPr>
        <w:t>prețul minim la care un vânzător este dispus să vândă conform ordinului de vânzare plasat în platforma de tranzacționare, sau</w:t>
      </w:r>
    </w:p>
    <w:p w14:paraId="5DCC51CD" w14:textId="77777777" w:rsidR="00EA4C3B" w:rsidRPr="002202F9" w:rsidRDefault="00EA4C3B" w:rsidP="00EA4C3B">
      <w:pPr>
        <w:pStyle w:val="ListParagraph"/>
        <w:numPr>
          <w:ilvl w:val="1"/>
          <w:numId w:val="29"/>
        </w:numPr>
        <w:tabs>
          <w:tab w:val="left" w:pos="21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02F9">
        <w:rPr>
          <w:rFonts w:ascii="Times New Roman" w:hAnsi="Times New Roman" w:cs="Times New Roman"/>
          <w:sz w:val="24"/>
          <w:szCs w:val="24"/>
        </w:rPr>
        <w:t>prețul ferm al tranzacției încheiate</w:t>
      </w:r>
    </w:p>
    <w:p w14:paraId="7B2A86F4" w14:textId="7017F63A" w:rsidR="00EA4C3B" w:rsidRPr="002202F9" w:rsidRDefault="00EA4C3B" w:rsidP="00EA4C3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D3D1FD" w14:textId="77777777" w:rsidR="006F6B82" w:rsidRDefault="006F6B82" w:rsidP="00C961E0">
      <w:pPr>
        <w:pStyle w:val="Heading1"/>
        <w:rPr>
          <w:i/>
          <w:iCs/>
        </w:rPr>
      </w:pPr>
      <w:bookmarkStart w:id="36" w:name="_Toc163211437"/>
    </w:p>
    <w:p w14:paraId="144E4C1D" w14:textId="77777777" w:rsidR="006F6B82" w:rsidRDefault="006F6B82" w:rsidP="00C961E0">
      <w:pPr>
        <w:pStyle w:val="Heading1"/>
        <w:rPr>
          <w:i/>
          <w:iCs/>
        </w:rPr>
      </w:pPr>
    </w:p>
    <w:p w14:paraId="60FBC038" w14:textId="77777777" w:rsidR="006F6B82" w:rsidRDefault="006F6B82" w:rsidP="00C961E0">
      <w:pPr>
        <w:pStyle w:val="Heading1"/>
        <w:rPr>
          <w:i/>
          <w:iCs/>
        </w:rPr>
      </w:pPr>
    </w:p>
    <w:p w14:paraId="70FDBCF8" w14:textId="77777777" w:rsidR="006F6B82" w:rsidRDefault="006F6B82" w:rsidP="00C961E0">
      <w:pPr>
        <w:pStyle w:val="Heading1"/>
        <w:rPr>
          <w:i/>
          <w:iCs/>
        </w:rPr>
      </w:pPr>
    </w:p>
    <w:p w14:paraId="0E9782DA" w14:textId="77777777" w:rsidR="006F6B82" w:rsidRDefault="006F6B82" w:rsidP="00C961E0">
      <w:pPr>
        <w:pStyle w:val="Heading1"/>
        <w:rPr>
          <w:i/>
          <w:iCs/>
        </w:rPr>
      </w:pPr>
    </w:p>
    <w:p w14:paraId="0D8BAC37" w14:textId="77777777" w:rsidR="006F6B82" w:rsidRDefault="006F6B82" w:rsidP="00C961E0">
      <w:pPr>
        <w:pStyle w:val="Heading1"/>
        <w:rPr>
          <w:i/>
          <w:iCs/>
        </w:rPr>
      </w:pPr>
    </w:p>
    <w:p w14:paraId="69D35BD2" w14:textId="77777777" w:rsidR="006F6B82" w:rsidRDefault="006F6B82" w:rsidP="00C961E0">
      <w:pPr>
        <w:pStyle w:val="Heading1"/>
        <w:rPr>
          <w:i/>
          <w:iCs/>
        </w:rPr>
      </w:pPr>
    </w:p>
    <w:p w14:paraId="42D01811" w14:textId="77777777" w:rsidR="006F6B82" w:rsidRDefault="006F6B82" w:rsidP="00C961E0">
      <w:pPr>
        <w:pStyle w:val="Heading1"/>
        <w:rPr>
          <w:i/>
          <w:iCs/>
        </w:rPr>
      </w:pPr>
    </w:p>
    <w:p w14:paraId="3EEE5A70" w14:textId="77777777" w:rsidR="006F6B82" w:rsidRDefault="006F6B82" w:rsidP="00C961E0">
      <w:pPr>
        <w:pStyle w:val="Heading1"/>
        <w:rPr>
          <w:i/>
          <w:iCs/>
        </w:rPr>
      </w:pPr>
    </w:p>
    <w:p w14:paraId="5C92F9A8" w14:textId="77777777" w:rsidR="006F6B82" w:rsidRDefault="006F6B82" w:rsidP="00C961E0">
      <w:pPr>
        <w:pStyle w:val="Heading1"/>
        <w:rPr>
          <w:i/>
          <w:iCs/>
        </w:rPr>
      </w:pPr>
    </w:p>
    <w:p w14:paraId="524990AB" w14:textId="77777777" w:rsidR="006F6B82" w:rsidRDefault="006F6B82" w:rsidP="00C961E0">
      <w:pPr>
        <w:pStyle w:val="Heading1"/>
        <w:rPr>
          <w:i/>
          <w:iCs/>
        </w:rPr>
      </w:pPr>
    </w:p>
    <w:p w14:paraId="4FE7419A" w14:textId="77777777" w:rsidR="006F6B82" w:rsidRDefault="006F6B82" w:rsidP="00C961E0">
      <w:pPr>
        <w:pStyle w:val="Heading1"/>
        <w:rPr>
          <w:i/>
          <w:iCs/>
        </w:rPr>
      </w:pPr>
    </w:p>
    <w:bookmarkEnd w:id="36"/>
    <w:p w14:paraId="2013AD02" w14:textId="77777777" w:rsidR="0071639F" w:rsidRPr="002202F9" w:rsidRDefault="0071639F" w:rsidP="00EA4C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B4E1AB" w14:textId="77777777" w:rsidR="006F6B82" w:rsidRDefault="006F6B82" w:rsidP="00C961E0">
      <w:pPr>
        <w:pStyle w:val="Title"/>
        <w:jc w:val="center"/>
        <w:rPr>
          <w:rFonts w:asciiTheme="majorBidi" w:hAnsiTheme="majorBidi"/>
          <w:sz w:val="32"/>
          <w:szCs w:val="32"/>
        </w:rPr>
      </w:pPr>
    </w:p>
    <w:p w14:paraId="688321D5" w14:textId="77777777" w:rsidR="006F6B82" w:rsidRPr="00C961E0" w:rsidRDefault="006F6B82" w:rsidP="006F6B82">
      <w:pPr>
        <w:pStyle w:val="Heading1"/>
        <w:rPr>
          <w:i/>
          <w:iCs/>
        </w:rPr>
      </w:pPr>
      <w:r w:rsidRPr="00C961E0">
        <w:rPr>
          <w:i/>
          <w:iCs/>
        </w:rPr>
        <w:lastRenderedPageBreak/>
        <w:t>Anexa 1- Nota Zilnic</w:t>
      </w:r>
      <w:r>
        <w:rPr>
          <w:i/>
          <w:iCs/>
        </w:rPr>
        <w:t>ă</w:t>
      </w:r>
      <w:r w:rsidRPr="00C961E0">
        <w:rPr>
          <w:i/>
          <w:iCs/>
        </w:rPr>
        <w:t xml:space="preserve"> de Decontare</w:t>
      </w:r>
    </w:p>
    <w:p w14:paraId="096B2CBA" w14:textId="77777777" w:rsidR="006F6B82" w:rsidRDefault="006F6B82" w:rsidP="00C961E0">
      <w:pPr>
        <w:pStyle w:val="Title"/>
        <w:jc w:val="center"/>
        <w:rPr>
          <w:rFonts w:asciiTheme="majorBidi" w:hAnsiTheme="majorBidi"/>
          <w:sz w:val="32"/>
          <w:szCs w:val="32"/>
        </w:rPr>
      </w:pPr>
    </w:p>
    <w:p w14:paraId="39B9ED5D" w14:textId="68D689A3" w:rsidR="0071639F" w:rsidRPr="00C961E0" w:rsidRDefault="0071639F" w:rsidP="00C961E0">
      <w:pPr>
        <w:pStyle w:val="Title"/>
        <w:jc w:val="center"/>
        <w:rPr>
          <w:rFonts w:asciiTheme="majorBidi" w:hAnsiTheme="majorBidi"/>
          <w:sz w:val="32"/>
          <w:szCs w:val="32"/>
        </w:rPr>
      </w:pPr>
      <w:r w:rsidRPr="00C961E0">
        <w:rPr>
          <w:rFonts w:asciiTheme="majorBidi" w:hAnsiTheme="majorBidi"/>
          <w:sz w:val="32"/>
          <w:szCs w:val="32"/>
        </w:rPr>
        <w:t>Nota Zilnic</w:t>
      </w:r>
      <w:r w:rsidR="0030316A">
        <w:rPr>
          <w:rFonts w:ascii="Times New Roman" w:hAnsi="Times New Roman" w:cs="Times New Roman"/>
          <w:sz w:val="32"/>
          <w:szCs w:val="32"/>
        </w:rPr>
        <w:t>ă</w:t>
      </w:r>
      <w:r w:rsidRPr="00C961E0">
        <w:rPr>
          <w:rFonts w:asciiTheme="majorBidi" w:hAnsiTheme="majorBidi"/>
          <w:sz w:val="32"/>
          <w:szCs w:val="32"/>
        </w:rPr>
        <w:t xml:space="preserve"> de Decontare</w:t>
      </w:r>
    </w:p>
    <w:p w14:paraId="7DD09DC7" w14:textId="77777777" w:rsidR="00EA4C3B" w:rsidRPr="002202F9" w:rsidRDefault="00EA4C3B" w:rsidP="00EA4C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410" w:type="dxa"/>
        <w:tblLook w:val="04A0" w:firstRow="1" w:lastRow="0" w:firstColumn="1" w:lastColumn="0" w:noHBand="0" w:noVBand="1"/>
      </w:tblPr>
      <w:tblGrid>
        <w:gridCol w:w="1890"/>
        <w:gridCol w:w="2520"/>
      </w:tblGrid>
      <w:tr w:rsidR="00EA4C3B" w:rsidRPr="002202F9" w14:paraId="40A2ECE0" w14:textId="77777777" w:rsidTr="002B22FB">
        <w:trPr>
          <w:trHeight w:val="27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9D23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Emitent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3987" w14:textId="0B2B4B3A" w:rsidR="00EA4C3B" w:rsidRPr="002202F9" w:rsidRDefault="0071639F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EA4C3B" w:rsidRPr="00220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BRM</w:t>
            </w:r>
          </w:p>
        </w:tc>
      </w:tr>
      <w:tr w:rsidR="00EA4C3B" w:rsidRPr="002202F9" w14:paraId="251CDF7D" w14:textId="77777777" w:rsidTr="002B22FB">
        <w:trPr>
          <w:trHeight w:val="27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1887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Participant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D3FF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*denumire participant*</w:t>
            </w:r>
          </w:p>
        </w:tc>
      </w:tr>
      <w:tr w:rsidR="00EA4C3B" w:rsidRPr="00A0156A" w14:paraId="4017D727" w14:textId="77777777" w:rsidTr="002B22FB">
        <w:trPr>
          <w:trHeight w:val="27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9001" w14:textId="77777777" w:rsidR="00EA4C3B" w:rsidRPr="00A0156A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15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Ziua de livrare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6F25" w14:textId="77777777" w:rsidR="00EA4C3B" w:rsidRPr="00A0156A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0156A">
              <w:rPr>
                <w:rFonts w:ascii="Times New Roman" w:eastAsia="Times New Roman" w:hAnsi="Times New Roman" w:cs="Times New Roman"/>
                <w:color w:val="000000"/>
              </w:rPr>
              <w:t>*data de livrare*</w:t>
            </w:r>
          </w:p>
        </w:tc>
      </w:tr>
      <w:tr w:rsidR="00EA4C3B" w:rsidRPr="00A0156A" w14:paraId="1F0B9297" w14:textId="77777777" w:rsidTr="002B22FB">
        <w:trPr>
          <w:trHeight w:val="278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BE9E" w14:textId="77777777" w:rsidR="00EA4C3B" w:rsidRPr="00A0156A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15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Moneda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B03C" w14:textId="4778B0B2" w:rsidR="00EA4C3B" w:rsidRPr="00A0156A" w:rsidRDefault="00F63917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156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RON</w:t>
            </w:r>
          </w:p>
        </w:tc>
      </w:tr>
    </w:tbl>
    <w:p w14:paraId="1A036574" w14:textId="5D7C8B42" w:rsidR="00EA4C3B" w:rsidRPr="002202F9" w:rsidRDefault="002B6966" w:rsidP="00EA4C3B">
      <w:pPr>
        <w:jc w:val="both"/>
        <w:rPr>
          <w:rFonts w:ascii="Times New Roman" w:hAnsi="Times New Roman" w:cs="Times New Roman"/>
        </w:rPr>
      </w:pPr>
      <w:r w:rsidRPr="00A0156A">
        <w:rPr>
          <w:rFonts w:ascii="Times New Roman" w:hAnsi="Times New Roman" w:cs="Times New Roman"/>
        </w:rPr>
        <w:t xml:space="preserve">  Pia</w:t>
      </w:r>
      <w:r w:rsidR="006F6B82" w:rsidRPr="00A0156A">
        <w:rPr>
          <w:rFonts w:ascii="Times New Roman" w:hAnsi="Times New Roman" w:cs="Times New Roman"/>
        </w:rPr>
        <w:t>ț</w:t>
      </w:r>
      <w:r w:rsidRPr="00A0156A">
        <w:rPr>
          <w:rFonts w:ascii="Times New Roman" w:hAnsi="Times New Roman" w:cs="Times New Roman"/>
        </w:rPr>
        <w:t>a</w:t>
      </w:r>
      <w:r w:rsidRPr="00A0156A">
        <w:rPr>
          <w:rFonts w:ascii="Times New Roman" w:hAnsi="Times New Roman" w:cs="Times New Roman"/>
        </w:rPr>
        <w:tab/>
      </w:r>
      <w:r w:rsidRPr="00A0156A">
        <w:rPr>
          <w:rFonts w:ascii="Times New Roman" w:hAnsi="Times New Roman" w:cs="Times New Roman"/>
        </w:rPr>
        <w:tab/>
        <w:t xml:space="preserve">          DayAhead</w:t>
      </w:r>
    </w:p>
    <w:tbl>
      <w:tblPr>
        <w:tblW w:w="9259" w:type="dxa"/>
        <w:tblLook w:val="04A0" w:firstRow="1" w:lastRow="0" w:firstColumn="1" w:lastColumn="0" w:noHBand="0" w:noVBand="1"/>
      </w:tblPr>
      <w:tblGrid>
        <w:gridCol w:w="1885"/>
        <w:gridCol w:w="1298"/>
        <w:gridCol w:w="1616"/>
        <w:gridCol w:w="965"/>
        <w:gridCol w:w="1157"/>
        <w:gridCol w:w="1023"/>
        <w:gridCol w:w="1315"/>
      </w:tblGrid>
      <w:tr w:rsidR="002B6966" w:rsidRPr="002202F9" w14:paraId="548C3FDD" w14:textId="77777777" w:rsidTr="00A0156A">
        <w:trPr>
          <w:trHeight w:val="32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C845" w14:textId="0DF752FF" w:rsidR="002B6966" w:rsidRPr="002202F9" w:rsidRDefault="002B6966" w:rsidP="00A0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Interval Orar de decontare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3E85" w14:textId="77777777" w:rsidR="002B6966" w:rsidRPr="002202F9" w:rsidRDefault="002B6966" w:rsidP="00A0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</w:rPr>
              <w:t>Sens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7126" w14:textId="41519FAA" w:rsidR="002B6966" w:rsidRPr="002202F9" w:rsidRDefault="002B6966" w:rsidP="00A0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</w:rPr>
              <w:t>Cantitate tranzac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ț</w:t>
            </w:r>
            <w:r w:rsidRPr="002202F9">
              <w:rPr>
                <w:rFonts w:ascii="Times New Roman" w:eastAsia="Times New Roman" w:hAnsi="Times New Roman" w:cs="Times New Roman"/>
                <w:b/>
                <w:bCs/>
              </w:rPr>
              <w:t>ionat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ă</w:t>
            </w:r>
            <w:r w:rsidRPr="002202F9">
              <w:rPr>
                <w:rFonts w:ascii="Times New Roman" w:eastAsia="Times New Roman" w:hAnsi="Times New Roman" w:cs="Times New Roman"/>
                <w:b/>
                <w:bCs/>
              </w:rPr>
              <w:t xml:space="preserve"> (MWh)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89F4" w14:textId="52203CAE" w:rsidR="002B6966" w:rsidRPr="002202F9" w:rsidRDefault="002B6966" w:rsidP="00A0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</w:rPr>
              <w:t>Pre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ț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5CF6" w14:textId="4B85F330" w:rsidR="002B6966" w:rsidRPr="002202F9" w:rsidRDefault="002B6966" w:rsidP="00A0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</w:rPr>
              <w:t>Valoare tranzac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ț</w:t>
            </w:r>
            <w:r w:rsidRPr="002202F9">
              <w:rPr>
                <w:rFonts w:ascii="Times New Roman" w:eastAsia="Times New Roman" w:hAnsi="Times New Roman" w:cs="Times New Roman"/>
                <w:b/>
                <w:bCs/>
              </w:rPr>
              <w:t>ie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2502" w14:textId="77777777" w:rsidR="002B6966" w:rsidRPr="002202F9" w:rsidRDefault="002B6966" w:rsidP="00A0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</w:rPr>
              <w:t>TVA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76D2" w14:textId="679D0A96" w:rsidR="002B6966" w:rsidRPr="002202F9" w:rsidRDefault="002B6966" w:rsidP="00A01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</w:rPr>
              <w:t>Valoare Total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ă</w:t>
            </w:r>
          </w:p>
        </w:tc>
      </w:tr>
      <w:tr w:rsidR="002B6966" w:rsidRPr="002202F9" w14:paraId="273EFFFF" w14:textId="77777777" w:rsidTr="00A0156A">
        <w:trPr>
          <w:trHeight w:val="32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D881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BED3" w14:textId="4BF53D3C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Cump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ă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rare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8C21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A1FC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0BC7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C92DA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B2ED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966" w:rsidRPr="002202F9" w14:paraId="26E90A79" w14:textId="77777777" w:rsidTr="00A0156A">
        <w:trPr>
          <w:trHeight w:val="32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192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ADCB" w14:textId="6723A166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â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nzare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2C86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DA1C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3E50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4A3E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1BCC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966" w:rsidRPr="002202F9" w14:paraId="3EBC7185" w14:textId="77777777" w:rsidTr="00A0156A">
        <w:trPr>
          <w:trHeight w:val="32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3819F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8727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….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E459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E380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960B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F73E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D7CC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966" w:rsidRPr="002202F9" w14:paraId="1DDE2B93" w14:textId="77777777" w:rsidTr="00A0156A">
        <w:trPr>
          <w:trHeight w:val="32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CEEF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1C5B" w14:textId="0C240505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Cump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ă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rare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A48D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AFBA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7219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A08EA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DF10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2B6966" w:rsidRPr="002202F9" w14:paraId="1B47C5F3" w14:textId="77777777" w:rsidTr="00A0156A">
        <w:trPr>
          <w:trHeight w:val="322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7A2B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827C" w14:textId="4750D693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â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nzare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AC42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3851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5B2F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F929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60A1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2B81BD5E" w14:textId="77777777" w:rsidR="00EA4C3B" w:rsidRDefault="00EA4C3B" w:rsidP="00EA4C3B">
      <w:pPr>
        <w:jc w:val="both"/>
        <w:rPr>
          <w:rFonts w:ascii="Times New Roman" w:hAnsi="Times New Roman" w:cs="Times New Roman"/>
        </w:rPr>
      </w:pPr>
    </w:p>
    <w:p w14:paraId="05B1A986" w14:textId="77777777" w:rsidR="002B6966" w:rsidRPr="002202F9" w:rsidRDefault="002B6966" w:rsidP="00EA4C3B">
      <w:pPr>
        <w:jc w:val="both"/>
        <w:rPr>
          <w:rFonts w:ascii="Times New Roman" w:hAnsi="Times New Roman" w:cs="Times New Roman"/>
        </w:rPr>
      </w:pPr>
    </w:p>
    <w:tbl>
      <w:tblPr>
        <w:tblW w:w="7330" w:type="dxa"/>
        <w:tblLook w:val="04A0" w:firstRow="1" w:lastRow="0" w:firstColumn="1" w:lastColumn="0" w:noHBand="0" w:noVBand="1"/>
      </w:tblPr>
      <w:tblGrid>
        <w:gridCol w:w="3590"/>
        <w:gridCol w:w="1870"/>
        <w:gridCol w:w="1870"/>
      </w:tblGrid>
      <w:tr w:rsidR="002B6966" w:rsidRPr="002202F9" w14:paraId="187084E9" w14:textId="76E59903" w:rsidTr="00A0156A">
        <w:trPr>
          <w:trHeight w:val="196"/>
        </w:trPr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A7A91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</w:rPr>
              <w:t>Sumar Cantitativ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CE816" w14:textId="0F4B8E23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</w:rPr>
              <w:t>Total (MWh)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BF555" w14:textId="1A97860D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PIP</w:t>
            </w:r>
          </w:p>
        </w:tc>
      </w:tr>
      <w:tr w:rsidR="002B6966" w:rsidRPr="002202F9" w14:paraId="208D4737" w14:textId="6E6FB7C9" w:rsidTr="008A40A9">
        <w:trPr>
          <w:trHeight w:val="288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E38" w14:textId="7AD828BB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Cantitate cump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ă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rat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ă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 xml:space="preserve"> la pre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ț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 xml:space="preserve"> pozitiv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37070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4EEA882A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B6966" w:rsidRPr="002202F9" w14:paraId="48AB019E" w14:textId="16768DB3" w:rsidTr="008A40A9">
        <w:trPr>
          <w:trHeight w:val="288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CA3E" w14:textId="5DE3B938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Cantitate cump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ă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rat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ă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 xml:space="preserve"> la pre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ț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 xml:space="preserve"> negativ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E88E61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7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5D26C8B8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6966" w:rsidRPr="002202F9" w14:paraId="0793701C" w14:textId="33EF19A1" w:rsidTr="00BC39CD">
        <w:trPr>
          <w:trHeight w:val="288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F731" w14:textId="29833880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Cantitate 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â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ndut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ă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 xml:space="preserve"> la pre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ț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 xml:space="preserve"> pozitiv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D091C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70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76B706B5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B6966" w:rsidRPr="002202F9" w14:paraId="32140097" w14:textId="66894A0F" w:rsidTr="00BC39CD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9C3E" w14:textId="4708994E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Cantitate 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â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ndut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ă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 xml:space="preserve"> la pre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ț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 xml:space="preserve"> negativ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6C798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87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14:paraId="3BEB087A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B6966" w:rsidRPr="002202F9" w14:paraId="2D076774" w14:textId="42B100CB" w:rsidTr="00A0156A">
        <w:trPr>
          <w:trHeight w:val="300"/>
        </w:trPr>
        <w:tc>
          <w:tcPr>
            <w:tcW w:w="3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769B0" w14:textId="5C6E3BAF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Cantitate net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ă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E4DB1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848BC" w14:textId="77777777" w:rsidR="002B6966" w:rsidRPr="002202F9" w:rsidRDefault="002B6966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018930D" w14:textId="77777777" w:rsidR="00EA4C3B" w:rsidRPr="002202F9" w:rsidRDefault="00EA4C3B" w:rsidP="00EA4C3B">
      <w:pPr>
        <w:jc w:val="both"/>
        <w:rPr>
          <w:rFonts w:ascii="Times New Roman" w:hAnsi="Times New Roman" w:cs="Times New Roman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3280"/>
        <w:gridCol w:w="2180"/>
        <w:gridCol w:w="2180"/>
        <w:gridCol w:w="2415"/>
      </w:tblGrid>
      <w:tr w:rsidR="00EA4C3B" w:rsidRPr="002202F9" w14:paraId="5E275A43" w14:textId="77777777" w:rsidTr="002B22FB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1F42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</w:rPr>
              <w:t>Sumar Valori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F009" w14:textId="2BDA34A9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</w:rPr>
              <w:t>Valoare tranzac</w:t>
            </w:r>
            <w:r w:rsidR="0030316A">
              <w:rPr>
                <w:rFonts w:ascii="Times New Roman" w:eastAsia="Times New Roman" w:hAnsi="Times New Roman" w:cs="Times New Roman"/>
                <w:b/>
                <w:bCs/>
              </w:rPr>
              <w:t>ț</w:t>
            </w:r>
            <w:r w:rsidRPr="002202F9">
              <w:rPr>
                <w:rFonts w:ascii="Times New Roman" w:eastAsia="Times New Roman" w:hAnsi="Times New Roman" w:cs="Times New Roman"/>
                <w:b/>
                <w:bCs/>
              </w:rPr>
              <w:t>ie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091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</w:rPr>
              <w:t>TVA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3D677" w14:textId="71D544F2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2F9">
              <w:rPr>
                <w:rFonts w:ascii="Times New Roman" w:eastAsia="Times New Roman" w:hAnsi="Times New Roman" w:cs="Times New Roman"/>
                <w:b/>
                <w:bCs/>
              </w:rPr>
              <w:t>Valoare net</w:t>
            </w:r>
            <w:r w:rsidR="0030316A">
              <w:rPr>
                <w:rFonts w:ascii="Times New Roman" w:eastAsia="Times New Roman" w:hAnsi="Times New Roman" w:cs="Times New Roman"/>
                <w:b/>
                <w:bCs/>
              </w:rPr>
              <w:t>ă</w:t>
            </w:r>
          </w:p>
        </w:tc>
      </w:tr>
      <w:tr w:rsidR="00EA4C3B" w:rsidRPr="002202F9" w14:paraId="33F06D19" w14:textId="77777777" w:rsidTr="002B22FB">
        <w:trPr>
          <w:trHeight w:val="28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9DAC" w14:textId="46865AEF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Valoare cump</w:t>
            </w:r>
            <w:r w:rsidR="0030316A">
              <w:rPr>
                <w:rFonts w:ascii="Times New Roman" w:eastAsia="Times New Roman" w:hAnsi="Times New Roman" w:cs="Times New Roman"/>
                <w:color w:val="000000"/>
              </w:rPr>
              <w:t>ă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rare la pre</w:t>
            </w:r>
            <w:r w:rsidR="0030316A">
              <w:rPr>
                <w:rFonts w:ascii="Times New Roman" w:eastAsia="Times New Roman" w:hAnsi="Times New Roman" w:cs="Times New Roman"/>
                <w:color w:val="000000"/>
              </w:rPr>
              <w:t>ț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 xml:space="preserve"> pozitiv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A772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CA0E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36EDA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4C3B" w:rsidRPr="002202F9" w14:paraId="5C29F2BE" w14:textId="77777777" w:rsidTr="002B22FB">
        <w:trPr>
          <w:trHeight w:val="28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31FF" w14:textId="530EC1CC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Valoare cump</w:t>
            </w:r>
            <w:r w:rsidR="0030316A">
              <w:rPr>
                <w:rFonts w:ascii="Times New Roman" w:eastAsia="Times New Roman" w:hAnsi="Times New Roman" w:cs="Times New Roman"/>
                <w:color w:val="000000"/>
              </w:rPr>
              <w:t>ă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rare la pre</w:t>
            </w:r>
            <w:r w:rsidR="0030316A">
              <w:rPr>
                <w:rFonts w:ascii="Times New Roman" w:eastAsia="Times New Roman" w:hAnsi="Times New Roman" w:cs="Times New Roman"/>
                <w:color w:val="000000"/>
              </w:rPr>
              <w:t>ț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 xml:space="preserve"> negativ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DC48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6510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CE56A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4C3B" w:rsidRPr="002202F9" w14:paraId="42BADDAA" w14:textId="77777777" w:rsidTr="002B22FB">
        <w:trPr>
          <w:trHeight w:val="28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37B1" w14:textId="7748B7AE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 xml:space="preserve">Valoare </w:t>
            </w:r>
            <w:r w:rsidR="004B464C" w:rsidRPr="002202F9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="0030316A">
              <w:rPr>
                <w:rFonts w:ascii="Times New Roman" w:eastAsia="Times New Roman" w:hAnsi="Times New Roman" w:cs="Times New Roman"/>
                <w:color w:val="000000"/>
              </w:rPr>
              <w:t>â</w:t>
            </w:r>
            <w:r w:rsidR="004B464C" w:rsidRPr="002202F9">
              <w:rPr>
                <w:rFonts w:ascii="Times New Roman" w:eastAsia="Times New Roman" w:hAnsi="Times New Roman" w:cs="Times New Roman"/>
                <w:color w:val="000000"/>
              </w:rPr>
              <w:t xml:space="preserve">nzare 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la pre</w:t>
            </w:r>
            <w:r w:rsidR="0030316A">
              <w:rPr>
                <w:rFonts w:ascii="Times New Roman" w:eastAsia="Times New Roman" w:hAnsi="Times New Roman" w:cs="Times New Roman"/>
                <w:color w:val="000000"/>
              </w:rPr>
              <w:t>ț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 xml:space="preserve"> pozitiv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64E1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F4F1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EA75ED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4C3B" w:rsidRPr="002202F9" w14:paraId="086A27C9" w14:textId="77777777" w:rsidTr="002B22FB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9110" w14:textId="63B35770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 xml:space="preserve">Valoare </w:t>
            </w:r>
            <w:r w:rsidR="004B464C" w:rsidRPr="002202F9"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="0030316A">
              <w:rPr>
                <w:rFonts w:ascii="Times New Roman" w:eastAsia="Times New Roman" w:hAnsi="Times New Roman" w:cs="Times New Roman"/>
                <w:color w:val="000000"/>
              </w:rPr>
              <w:t>â</w:t>
            </w:r>
            <w:r w:rsidR="004B464C" w:rsidRPr="002202F9">
              <w:rPr>
                <w:rFonts w:ascii="Times New Roman" w:eastAsia="Times New Roman" w:hAnsi="Times New Roman" w:cs="Times New Roman"/>
                <w:color w:val="000000"/>
              </w:rPr>
              <w:t xml:space="preserve">nzare 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la pre</w:t>
            </w:r>
            <w:r w:rsidR="0030316A">
              <w:rPr>
                <w:rFonts w:ascii="Times New Roman" w:eastAsia="Times New Roman" w:hAnsi="Times New Roman" w:cs="Times New Roman"/>
                <w:color w:val="000000"/>
              </w:rPr>
              <w:t>ț</w:t>
            </w:r>
            <w:r w:rsidRPr="002202F9">
              <w:rPr>
                <w:rFonts w:ascii="Times New Roman" w:eastAsia="Times New Roman" w:hAnsi="Times New Roman" w:cs="Times New Roman"/>
                <w:color w:val="000000"/>
              </w:rPr>
              <w:t xml:space="preserve"> negativ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7BF2B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C2D7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8935D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A4C3B" w:rsidRPr="002202F9" w14:paraId="5F440C0F" w14:textId="77777777" w:rsidTr="002B22FB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50B0E" w14:textId="78285A18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Valoare net</w:t>
            </w:r>
            <w:r w:rsidR="0030316A">
              <w:rPr>
                <w:rFonts w:ascii="Times New Roman" w:eastAsia="Times New Roman" w:hAnsi="Times New Roman" w:cs="Times New Roman"/>
                <w:color w:val="000000"/>
              </w:rPr>
              <w:t>ă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60B66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036E1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5FBA8" w14:textId="77777777" w:rsidR="00EA4C3B" w:rsidRPr="002202F9" w:rsidRDefault="00EA4C3B" w:rsidP="00EA4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02F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14:paraId="508F85D9" w14:textId="77777777" w:rsidR="00EA4C3B" w:rsidRPr="002202F9" w:rsidRDefault="00EA4C3B" w:rsidP="00EA4C3B">
      <w:pPr>
        <w:jc w:val="both"/>
        <w:rPr>
          <w:rFonts w:ascii="Times New Roman" w:hAnsi="Times New Roman" w:cs="Times New Roman"/>
        </w:rPr>
      </w:pPr>
    </w:p>
    <w:p w14:paraId="2D0EACFA" w14:textId="77777777" w:rsidR="00EA4C3B" w:rsidRPr="002202F9" w:rsidRDefault="00EA4C3B" w:rsidP="00EA4C3B">
      <w:pPr>
        <w:jc w:val="both"/>
        <w:rPr>
          <w:rFonts w:ascii="Times New Roman" w:hAnsi="Times New Roman" w:cs="Times New Roman"/>
        </w:rPr>
      </w:pPr>
    </w:p>
    <w:p w14:paraId="68205CF0" w14:textId="3C9A5A53" w:rsidR="00331ACB" w:rsidRPr="00331ACB" w:rsidRDefault="00331ACB" w:rsidP="00331ACB">
      <w:pPr>
        <w:tabs>
          <w:tab w:val="left" w:pos="78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331ACB" w:rsidRPr="00331ACB" w:rsidSect="00AC2629">
      <w:headerReference w:type="default" r:id="rId8"/>
      <w:footerReference w:type="default" r:id="rId9"/>
      <w:headerReference w:type="first" r:id="rId10"/>
      <w:pgSz w:w="12240" w:h="15840"/>
      <w:pgMar w:top="1440" w:right="1260" w:bottom="1440" w:left="16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3201A" w14:textId="77777777" w:rsidR="00A81E45" w:rsidRPr="002202F9" w:rsidRDefault="00A81E45" w:rsidP="000F4B16">
      <w:pPr>
        <w:spacing w:after="0" w:line="240" w:lineRule="auto"/>
      </w:pPr>
      <w:r w:rsidRPr="002202F9">
        <w:separator/>
      </w:r>
    </w:p>
  </w:endnote>
  <w:endnote w:type="continuationSeparator" w:id="0">
    <w:p w14:paraId="0673A193" w14:textId="77777777" w:rsidR="00A81E45" w:rsidRPr="002202F9" w:rsidRDefault="00A81E45" w:rsidP="000F4B16">
      <w:pPr>
        <w:spacing w:after="0" w:line="240" w:lineRule="auto"/>
      </w:pPr>
      <w:r w:rsidRPr="002202F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808080" w:themeColor="background1" w:themeShade="80"/>
      </w:rPr>
      <w:id w:val="1098752095"/>
      <w:docPartObj>
        <w:docPartGallery w:val="Page Numbers (Bottom of Page)"/>
        <w:docPartUnique/>
      </w:docPartObj>
    </w:sdtPr>
    <w:sdtContent>
      <w:sdt>
        <w:sdtPr>
          <w:rPr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AB88FFB" w14:textId="00046FB5" w:rsidR="00061C53" w:rsidRPr="002202F9" w:rsidRDefault="008C402B" w:rsidP="00A56089">
            <w:pPr>
              <w:pStyle w:val="Footer"/>
              <w:rPr>
                <w:color w:val="808080" w:themeColor="background1" w:themeShade="80"/>
              </w:rPr>
            </w:pPr>
            <w:r w:rsidRPr="002202F9">
              <w:rPr>
                <w:color w:val="808080" w:themeColor="background1" w:themeShade="80"/>
              </w:rPr>
              <w:t>Procedura de Clearing pe Pia</w:t>
            </w:r>
            <w:r w:rsidR="008219F1">
              <w:rPr>
                <w:color w:val="808080" w:themeColor="background1" w:themeShade="80"/>
              </w:rPr>
              <w:t>ț</w:t>
            </w:r>
            <w:r w:rsidRPr="002202F9">
              <w:rPr>
                <w:color w:val="808080" w:themeColor="background1" w:themeShade="80"/>
              </w:rPr>
              <w:t xml:space="preserve">a </w:t>
            </w:r>
            <w:r w:rsidR="00FF3725">
              <w:rPr>
                <w:color w:val="808080" w:themeColor="background1" w:themeShade="80"/>
              </w:rPr>
              <w:t>PZU</w:t>
            </w:r>
            <w:r w:rsidR="00DF7C7A">
              <w:rPr>
                <w:color w:val="808080" w:themeColor="background1" w:themeShade="80"/>
              </w:rPr>
              <w:t xml:space="preserve"> </w:t>
            </w:r>
            <w:r w:rsidR="00061C53" w:rsidRPr="002202F9">
              <w:rPr>
                <w:color w:val="808080" w:themeColor="background1" w:themeShade="80"/>
              </w:rPr>
              <w:t xml:space="preserve">Pagina </w:t>
            </w:r>
            <w:r w:rsidR="00061C53" w:rsidRPr="002202F9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061C53" w:rsidRPr="002202F9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="00061C53" w:rsidRPr="002202F9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61C53" w:rsidRPr="00C961E0">
              <w:rPr>
                <w:b/>
                <w:bCs/>
                <w:color w:val="808080" w:themeColor="background1" w:themeShade="80"/>
              </w:rPr>
              <w:t>2</w:t>
            </w:r>
            <w:r w:rsidR="00061C53" w:rsidRPr="002202F9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="00061C53" w:rsidRPr="002202F9">
              <w:rPr>
                <w:color w:val="808080" w:themeColor="background1" w:themeShade="80"/>
              </w:rPr>
              <w:t xml:space="preserve"> din </w:t>
            </w:r>
            <w:r w:rsidR="00061C53" w:rsidRPr="002202F9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061C53" w:rsidRPr="002202F9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="00061C53" w:rsidRPr="002202F9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61C53" w:rsidRPr="00C961E0">
              <w:rPr>
                <w:b/>
                <w:bCs/>
                <w:color w:val="808080" w:themeColor="background1" w:themeShade="80"/>
              </w:rPr>
              <w:t>2</w:t>
            </w:r>
            <w:r w:rsidR="00061C53" w:rsidRPr="002202F9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02AB6D1E" w14:textId="77777777" w:rsidR="00061C53" w:rsidRPr="002202F9" w:rsidRDefault="00061C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D1402" w14:textId="77777777" w:rsidR="00A81E45" w:rsidRPr="002202F9" w:rsidRDefault="00A81E45" w:rsidP="000F4B16">
      <w:pPr>
        <w:spacing w:after="0" w:line="240" w:lineRule="auto"/>
      </w:pPr>
      <w:r w:rsidRPr="002202F9">
        <w:separator/>
      </w:r>
    </w:p>
  </w:footnote>
  <w:footnote w:type="continuationSeparator" w:id="0">
    <w:p w14:paraId="41B2B65A" w14:textId="77777777" w:rsidR="00A81E45" w:rsidRPr="002202F9" w:rsidRDefault="00A81E45" w:rsidP="000F4B16">
      <w:pPr>
        <w:spacing w:after="0" w:line="240" w:lineRule="auto"/>
      </w:pPr>
      <w:r w:rsidRPr="002202F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7DAF4" w14:textId="728BBE68" w:rsidR="004C107E" w:rsidRPr="002202F9" w:rsidRDefault="004C107E" w:rsidP="00A56089">
    <w:pPr>
      <w:tabs>
        <w:tab w:val="left" w:pos="7635"/>
      </w:tabs>
      <w:spacing w:line="360" w:lineRule="auto"/>
      <w:jc w:val="both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C30742">
      <w:rPr>
        <w:rFonts w:ascii="Times New Roman" w:hAnsi="Times New Roman" w:cs="Times New Roman"/>
        <w:noProof/>
        <w:color w:val="808080" w:themeColor="background1" w:themeShade="80"/>
        <w:sz w:val="24"/>
        <w:szCs w:val="24"/>
      </w:rPr>
      <w:drawing>
        <wp:inline distT="0" distB="0" distL="0" distR="0" wp14:anchorId="7FABD36B" wp14:editId="7DDA9FE3">
          <wp:extent cx="513715" cy="447675"/>
          <wp:effectExtent l="0" t="0" r="635" b="9525"/>
          <wp:docPr id="1819663995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606336" name="Picture 1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942" cy="452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202F9">
      <w:rPr>
        <w:color w:val="808080" w:themeColor="background1" w:themeShade="80"/>
      </w:rPr>
      <w:t xml:space="preserve">                                </w:t>
    </w:r>
    <w:r w:rsidRPr="002202F9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                                                                   </w:t>
    </w:r>
    <w:r w:rsidRPr="002202F9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Versiunea 1.0 </w:t>
    </w:r>
    <w:r w:rsidR="00E73E6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valabilă </w:t>
    </w:r>
    <w:r w:rsidRPr="002202F9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din </w:t>
    </w:r>
    <w:r w:rsidR="00A0156A">
      <w:rPr>
        <w:rFonts w:ascii="Times New Roman" w:hAnsi="Times New Roman" w:cs="Times New Roman"/>
        <w:color w:val="808080" w:themeColor="background1" w:themeShade="80"/>
        <w:sz w:val="20"/>
        <w:szCs w:val="20"/>
      </w:rPr>
      <w:t>xx</w:t>
    </w:r>
    <w:r w:rsidRPr="002202F9">
      <w:rPr>
        <w:rFonts w:ascii="Times New Roman" w:hAnsi="Times New Roman" w:cs="Times New Roman"/>
        <w:color w:val="808080" w:themeColor="background1" w:themeShade="80"/>
        <w:sz w:val="20"/>
        <w:szCs w:val="20"/>
      </w:rPr>
      <w:t>.</w:t>
    </w:r>
    <w:r w:rsidR="00A0156A">
      <w:rPr>
        <w:rFonts w:ascii="Times New Roman" w:hAnsi="Times New Roman" w:cs="Times New Roman"/>
        <w:color w:val="808080" w:themeColor="background1" w:themeShade="80"/>
        <w:sz w:val="20"/>
        <w:szCs w:val="20"/>
      </w:rPr>
      <w:t>xx</w:t>
    </w:r>
    <w:r w:rsidRPr="002202F9">
      <w:rPr>
        <w:rFonts w:ascii="Times New Roman" w:hAnsi="Times New Roman" w:cs="Times New Roman"/>
        <w:color w:val="808080" w:themeColor="background1" w:themeShade="80"/>
        <w:sz w:val="20"/>
        <w:szCs w:val="20"/>
      </w:rPr>
      <w:t>.2024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D8F9" w14:textId="126FE443" w:rsidR="004C107E" w:rsidRPr="002202F9" w:rsidRDefault="004C107E" w:rsidP="00A56089">
    <w:pPr>
      <w:tabs>
        <w:tab w:val="left" w:pos="7635"/>
      </w:tabs>
      <w:spacing w:line="360" w:lineRule="auto"/>
      <w:jc w:val="both"/>
      <w:rPr>
        <w:rFonts w:ascii="Times New Roman" w:hAnsi="Times New Roman" w:cs="Times New Roman"/>
        <w:sz w:val="20"/>
        <w:szCs w:val="20"/>
      </w:rPr>
    </w:pPr>
    <w:r w:rsidRPr="00C30742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F453592" wp14:editId="26A44477">
          <wp:extent cx="532130" cy="552185"/>
          <wp:effectExtent l="0" t="0" r="1270" b="635"/>
          <wp:docPr id="1155607181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606336" name="Picture 1" descr="A red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40" cy="57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2202F9">
      <w:t xml:space="preserve">                                </w:t>
    </w:r>
    <w:r w:rsidRPr="002202F9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</w:t>
    </w:r>
    <w:r w:rsidRPr="002202F9">
      <w:rPr>
        <w:rFonts w:ascii="Times New Roman" w:hAnsi="Times New Roman" w:cs="Times New Roman"/>
        <w:sz w:val="20"/>
        <w:szCs w:val="20"/>
      </w:rPr>
      <w:t xml:space="preserve">Versiunea </w:t>
    </w:r>
    <w:r w:rsidRPr="002202F9">
      <w:rPr>
        <w:rFonts w:ascii="Times New Roman" w:hAnsi="Times New Roman" w:cs="Times New Roman"/>
        <w:sz w:val="20"/>
        <w:szCs w:val="20"/>
      </w:rPr>
      <w:t xml:space="preserve">1.0 </w:t>
    </w:r>
    <w:r w:rsidR="00E73E67">
      <w:rPr>
        <w:rFonts w:ascii="Times New Roman" w:hAnsi="Times New Roman" w:cs="Times New Roman"/>
        <w:sz w:val="20"/>
        <w:szCs w:val="20"/>
      </w:rPr>
      <w:t xml:space="preserve">valabilă </w:t>
    </w:r>
    <w:r w:rsidRPr="002202F9">
      <w:rPr>
        <w:rFonts w:ascii="Times New Roman" w:hAnsi="Times New Roman" w:cs="Times New Roman"/>
        <w:sz w:val="20"/>
        <w:szCs w:val="20"/>
      </w:rPr>
      <w:t xml:space="preserve">din </w:t>
    </w:r>
    <w:r w:rsidR="00DF7C7A">
      <w:rPr>
        <w:rFonts w:ascii="Times New Roman" w:hAnsi="Times New Roman" w:cs="Times New Roman"/>
        <w:sz w:val="20"/>
        <w:szCs w:val="20"/>
      </w:rPr>
      <w:t>xx</w:t>
    </w:r>
    <w:r w:rsidRPr="002202F9">
      <w:rPr>
        <w:rFonts w:ascii="Times New Roman" w:hAnsi="Times New Roman" w:cs="Times New Roman"/>
        <w:sz w:val="20"/>
        <w:szCs w:val="20"/>
      </w:rPr>
      <w:t>.</w:t>
    </w:r>
    <w:r w:rsidR="00A0156A">
      <w:rPr>
        <w:rFonts w:ascii="Times New Roman" w:hAnsi="Times New Roman" w:cs="Times New Roman"/>
        <w:sz w:val="20"/>
        <w:szCs w:val="20"/>
      </w:rPr>
      <w:t>xx</w:t>
    </w:r>
    <w:r w:rsidRPr="002202F9">
      <w:rPr>
        <w:rFonts w:ascii="Times New Roman" w:hAnsi="Times New Roman" w:cs="Times New Roman"/>
        <w:sz w:val="20"/>
        <w:szCs w:val="20"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816"/>
      </v:shape>
    </w:pict>
  </w:numPicBullet>
  <w:abstractNum w:abstractNumId="0" w15:restartNumberingAfterBreak="0">
    <w:nsid w:val="01BD58A3"/>
    <w:multiLevelType w:val="hybridMultilevel"/>
    <w:tmpl w:val="60DEAAD0"/>
    <w:lvl w:ilvl="0" w:tplc="83B6782A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A89485E"/>
    <w:multiLevelType w:val="hybridMultilevel"/>
    <w:tmpl w:val="D4567442"/>
    <w:lvl w:ilvl="0" w:tplc="5CF6C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44365"/>
    <w:multiLevelType w:val="hybridMultilevel"/>
    <w:tmpl w:val="621E8070"/>
    <w:lvl w:ilvl="0" w:tplc="613250BE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E20CFF"/>
    <w:multiLevelType w:val="hybridMultilevel"/>
    <w:tmpl w:val="D45674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528AD"/>
    <w:multiLevelType w:val="hybridMultilevel"/>
    <w:tmpl w:val="F8465DEE"/>
    <w:lvl w:ilvl="0" w:tplc="B354235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16A26DD2"/>
    <w:multiLevelType w:val="hybridMultilevel"/>
    <w:tmpl w:val="D45674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F240D"/>
    <w:multiLevelType w:val="hybridMultilevel"/>
    <w:tmpl w:val="F3C098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86045"/>
    <w:multiLevelType w:val="hybridMultilevel"/>
    <w:tmpl w:val="36D63658"/>
    <w:lvl w:ilvl="0" w:tplc="8A021594">
      <w:start w:val="1"/>
      <w:numFmt w:val="decimal"/>
      <w:lvlText w:val="(%1)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41E44DC"/>
    <w:multiLevelType w:val="hybridMultilevel"/>
    <w:tmpl w:val="07BAB0C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A21C78"/>
    <w:multiLevelType w:val="hybridMultilevel"/>
    <w:tmpl w:val="F6F6064A"/>
    <w:lvl w:ilvl="0" w:tplc="04090019">
      <w:start w:val="1"/>
      <w:numFmt w:val="lowerLetter"/>
      <w:lvlText w:val="%1."/>
      <w:lvlJc w:val="left"/>
      <w:pPr>
        <w:ind w:left="836" w:hanging="360"/>
      </w:pPr>
      <w:rPr>
        <w:rFonts w:hint="eastAsia"/>
      </w:rPr>
    </w:lvl>
    <w:lvl w:ilvl="1" w:tplc="FFFFFFFF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0" w15:restartNumberingAfterBreak="0">
    <w:nsid w:val="260120C7"/>
    <w:multiLevelType w:val="multilevel"/>
    <w:tmpl w:val="5900DAA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A93EAF"/>
    <w:multiLevelType w:val="hybridMultilevel"/>
    <w:tmpl w:val="15BEA12E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 w15:restartNumberingAfterBreak="0">
    <w:nsid w:val="2FAF0E07"/>
    <w:multiLevelType w:val="hybridMultilevel"/>
    <w:tmpl w:val="116C9B82"/>
    <w:lvl w:ilvl="0" w:tplc="35FEB46A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C6F97"/>
    <w:multiLevelType w:val="hybridMultilevel"/>
    <w:tmpl w:val="D45674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03582"/>
    <w:multiLevelType w:val="hybridMultilevel"/>
    <w:tmpl w:val="9DD0DA1A"/>
    <w:lvl w:ilvl="0" w:tplc="D7127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74A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7A1405"/>
    <w:multiLevelType w:val="multilevel"/>
    <w:tmpl w:val="FC38B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7" w15:restartNumberingAfterBreak="0">
    <w:nsid w:val="37935072"/>
    <w:multiLevelType w:val="hybridMultilevel"/>
    <w:tmpl w:val="587AC7A2"/>
    <w:lvl w:ilvl="0" w:tplc="0E82E52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E04964"/>
    <w:multiLevelType w:val="multilevel"/>
    <w:tmpl w:val="554224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asciiTheme="majorBidi" w:hAnsiTheme="majorBidi" w:cstheme="majorBidi" w:hint="default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9" w15:restartNumberingAfterBreak="0">
    <w:nsid w:val="3AFE72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5D2CFD"/>
    <w:multiLevelType w:val="hybridMultilevel"/>
    <w:tmpl w:val="BD3C2968"/>
    <w:lvl w:ilvl="0" w:tplc="7E480A3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921D68"/>
    <w:multiLevelType w:val="hybridMultilevel"/>
    <w:tmpl w:val="FD6A56CE"/>
    <w:lvl w:ilvl="0" w:tplc="2C60A63C">
      <w:start w:val="2"/>
      <w:numFmt w:val="bullet"/>
      <w:lvlText w:val="-"/>
      <w:lvlJc w:val="left"/>
      <w:pPr>
        <w:ind w:left="836" w:hanging="360"/>
      </w:pPr>
      <w:rPr>
        <w:rFonts w:ascii="Arial Unicode MS" w:eastAsia="Arial Unicode MS" w:hAnsi="Arial Unicode MS" w:cs="Arial Unicode MS" w:hint="eastAsia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2" w15:restartNumberingAfterBreak="0">
    <w:nsid w:val="3DB508FA"/>
    <w:multiLevelType w:val="multilevel"/>
    <w:tmpl w:val="019AEB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Bidi" w:hAnsiTheme="majorBidi" w:cstheme="majorBidi" w:hint="default"/>
        <w:b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3" w15:restartNumberingAfterBreak="0">
    <w:nsid w:val="40E67CC1"/>
    <w:multiLevelType w:val="hybridMultilevel"/>
    <w:tmpl w:val="7C32FE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80E86"/>
    <w:multiLevelType w:val="hybridMultilevel"/>
    <w:tmpl w:val="D45674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32059"/>
    <w:multiLevelType w:val="hybridMultilevel"/>
    <w:tmpl w:val="77A69950"/>
    <w:lvl w:ilvl="0" w:tplc="B596F08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E9071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AD3165"/>
    <w:multiLevelType w:val="hybridMultilevel"/>
    <w:tmpl w:val="601A5734"/>
    <w:lvl w:ilvl="0" w:tplc="0409000F">
      <w:start w:val="1"/>
      <w:numFmt w:val="decimal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8" w15:restartNumberingAfterBreak="0">
    <w:nsid w:val="578B3A64"/>
    <w:multiLevelType w:val="hybridMultilevel"/>
    <w:tmpl w:val="1C9A9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52A4B"/>
    <w:multiLevelType w:val="multilevel"/>
    <w:tmpl w:val="AB846E08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1E2E92"/>
    <w:multiLevelType w:val="hybridMultilevel"/>
    <w:tmpl w:val="B42813E6"/>
    <w:lvl w:ilvl="0" w:tplc="C9E4E42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5F615D0C"/>
    <w:multiLevelType w:val="hybridMultilevel"/>
    <w:tmpl w:val="F47AA00E"/>
    <w:lvl w:ilvl="0" w:tplc="F6666E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793AF8"/>
    <w:multiLevelType w:val="hybridMultilevel"/>
    <w:tmpl w:val="E5688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16295"/>
    <w:multiLevelType w:val="hybridMultilevel"/>
    <w:tmpl w:val="A448F0CE"/>
    <w:lvl w:ilvl="0" w:tplc="E52A29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C026906"/>
    <w:multiLevelType w:val="hybridMultilevel"/>
    <w:tmpl w:val="7E54C28A"/>
    <w:lvl w:ilvl="0" w:tplc="34ECCEDC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6F6F3C16"/>
    <w:multiLevelType w:val="multilevel"/>
    <w:tmpl w:val="41E8AB9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2835EA9"/>
    <w:multiLevelType w:val="hybridMultilevel"/>
    <w:tmpl w:val="8AB6E508"/>
    <w:lvl w:ilvl="0" w:tplc="5BB0ECD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DC14AE"/>
    <w:multiLevelType w:val="hybridMultilevel"/>
    <w:tmpl w:val="D45674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D4DAA"/>
    <w:multiLevelType w:val="hybridMultilevel"/>
    <w:tmpl w:val="D45674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C3EAA"/>
    <w:multiLevelType w:val="hybridMultilevel"/>
    <w:tmpl w:val="3544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90955">
    <w:abstractNumId w:val="1"/>
  </w:num>
  <w:num w:numId="2" w16cid:durableId="348331779">
    <w:abstractNumId w:val="14"/>
  </w:num>
  <w:num w:numId="3" w16cid:durableId="1376125637">
    <w:abstractNumId w:val="24"/>
  </w:num>
  <w:num w:numId="4" w16cid:durableId="859508374">
    <w:abstractNumId w:val="38"/>
  </w:num>
  <w:num w:numId="5" w16cid:durableId="283317669">
    <w:abstractNumId w:val="37"/>
  </w:num>
  <w:num w:numId="6" w16cid:durableId="1100028939">
    <w:abstractNumId w:val="13"/>
  </w:num>
  <w:num w:numId="7" w16cid:durableId="892622725">
    <w:abstractNumId w:val="3"/>
  </w:num>
  <w:num w:numId="8" w16cid:durableId="1439450089">
    <w:abstractNumId w:val="5"/>
  </w:num>
  <w:num w:numId="9" w16cid:durableId="1656493172">
    <w:abstractNumId w:val="18"/>
  </w:num>
  <w:num w:numId="10" w16cid:durableId="1840268002">
    <w:abstractNumId w:val="21"/>
  </w:num>
  <w:num w:numId="11" w16cid:durableId="355889332">
    <w:abstractNumId w:val="33"/>
  </w:num>
  <w:num w:numId="12" w16cid:durableId="1858234128">
    <w:abstractNumId w:val="20"/>
  </w:num>
  <w:num w:numId="13" w16cid:durableId="542133266">
    <w:abstractNumId w:val="7"/>
  </w:num>
  <w:num w:numId="14" w16cid:durableId="445077615">
    <w:abstractNumId w:val="34"/>
  </w:num>
  <w:num w:numId="15" w16cid:durableId="1447848312">
    <w:abstractNumId w:val="30"/>
  </w:num>
  <w:num w:numId="16" w16cid:durableId="1585214448">
    <w:abstractNumId w:val="0"/>
  </w:num>
  <w:num w:numId="17" w16cid:durableId="667750924">
    <w:abstractNumId w:val="2"/>
  </w:num>
  <w:num w:numId="18" w16cid:durableId="416950131">
    <w:abstractNumId w:val="12"/>
  </w:num>
  <w:num w:numId="19" w16cid:durableId="720904141">
    <w:abstractNumId w:val="23"/>
  </w:num>
  <w:num w:numId="20" w16cid:durableId="1387756212">
    <w:abstractNumId w:val="8"/>
  </w:num>
  <w:num w:numId="21" w16cid:durableId="88699262">
    <w:abstractNumId w:val="36"/>
  </w:num>
  <w:num w:numId="22" w16cid:durableId="1513758895">
    <w:abstractNumId w:val="28"/>
  </w:num>
  <w:num w:numId="23" w16cid:durableId="859587531">
    <w:abstractNumId w:val="17"/>
  </w:num>
  <w:num w:numId="24" w16cid:durableId="572131667">
    <w:abstractNumId w:val="25"/>
  </w:num>
  <w:num w:numId="25" w16cid:durableId="1435596030">
    <w:abstractNumId w:val="31"/>
  </w:num>
  <w:num w:numId="26" w16cid:durableId="1224684568">
    <w:abstractNumId w:val="16"/>
  </w:num>
  <w:num w:numId="27" w16cid:durableId="790631187">
    <w:abstractNumId w:val="10"/>
  </w:num>
  <w:num w:numId="28" w16cid:durableId="2030132066">
    <w:abstractNumId w:val="39"/>
  </w:num>
  <w:num w:numId="29" w16cid:durableId="1337076367">
    <w:abstractNumId w:val="32"/>
  </w:num>
  <w:num w:numId="30" w16cid:durableId="1480267889">
    <w:abstractNumId w:val="27"/>
  </w:num>
  <w:num w:numId="31" w16cid:durableId="1833907210">
    <w:abstractNumId w:val="11"/>
  </w:num>
  <w:num w:numId="32" w16cid:durableId="1715495807">
    <w:abstractNumId w:val="4"/>
  </w:num>
  <w:num w:numId="33" w16cid:durableId="546449988">
    <w:abstractNumId w:val="15"/>
  </w:num>
  <w:num w:numId="34" w16cid:durableId="1476145433">
    <w:abstractNumId w:val="26"/>
  </w:num>
  <w:num w:numId="35" w16cid:durableId="582566864">
    <w:abstractNumId w:val="19"/>
  </w:num>
  <w:num w:numId="36" w16cid:durableId="1134564711">
    <w:abstractNumId w:val="29"/>
  </w:num>
  <w:num w:numId="37" w16cid:durableId="922879962">
    <w:abstractNumId w:val="6"/>
  </w:num>
  <w:num w:numId="38" w16cid:durableId="363749168">
    <w:abstractNumId w:val="22"/>
  </w:num>
  <w:num w:numId="39" w16cid:durableId="1554004465">
    <w:abstractNumId w:val="35"/>
  </w:num>
  <w:num w:numId="40" w16cid:durableId="17984045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16"/>
    <w:rsid w:val="00000CB9"/>
    <w:rsid w:val="0001085F"/>
    <w:rsid w:val="00010E5E"/>
    <w:rsid w:val="0001589F"/>
    <w:rsid w:val="00021786"/>
    <w:rsid w:val="000257A8"/>
    <w:rsid w:val="00027760"/>
    <w:rsid w:val="00027D94"/>
    <w:rsid w:val="000339DE"/>
    <w:rsid w:val="00042A35"/>
    <w:rsid w:val="00042F3D"/>
    <w:rsid w:val="000433AB"/>
    <w:rsid w:val="000442AE"/>
    <w:rsid w:val="00045049"/>
    <w:rsid w:val="000467B4"/>
    <w:rsid w:val="00052CC4"/>
    <w:rsid w:val="000569B7"/>
    <w:rsid w:val="00061C53"/>
    <w:rsid w:val="0006390B"/>
    <w:rsid w:val="00073599"/>
    <w:rsid w:val="00074C69"/>
    <w:rsid w:val="00076178"/>
    <w:rsid w:val="00076893"/>
    <w:rsid w:val="00080BE6"/>
    <w:rsid w:val="00090563"/>
    <w:rsid w:val="000A64AD"/>
    <w:rsid w:val="000B20BC"/>
    <w:rsid w:val="000B2C55"/>
    <w:rsid w:val="000C052A"/>
    <w:rsid w:val="000C5458"/>
    <w:rsid w:val="000C6641"/>
    <w:rsid w:val="000C6A70"/>
    <w:rsid w:val="000C73AB"/>
    <w:rsid w:val="000E038C"/>
    <w:rsid w:val="000E5391"/>
    <w:rsid w:val="000F4B16"/>
    <w:rsid w:val="000F6808"/>
    <w:rsid w:val="00103869"/>
    <w:rsid w:val="00105F62"/>
    <w:rsid w:val="00107961"/>
    <w:rsid w:val="0011761C"/>
    <w:rsid w:val="00121B2B"/>
    <w:rsid w:val="00126265"/>
    <w:rsid w:val="00131393"/>
    <w:rsid w:val="00132AAE"/>
    <w:rsid w:val="001417BA"/>
    <w:rsid w:val="001448D1"/>
    <w:rsid w:val="00146167"/>
    <w:rsid w:val="00156D78"/>
    <w:rsid w:val="00161405"/>
    <w:rsid w:val="00161F4E"/>
    <w:rsid w:val="00162C85"/>
    <w:rsid w:val="001637DA"/>
    <w:rsid w:val="001742EA"/>
    <w:rsid w:val="001750D5"/>
    <w:rsid w:val="00184DB2"/>
    <w:rsid w:val="0018684D"/>
    <w:rsid w:val="00193395"/>
    <w:rsid w:val="00196A85"/>
    <w:rsid w:val="001A1B1C"/>
    <w:rsid w:val="001B49DE"/>
    <w:rsid w:val="001C06D6"/>
    <w:rsid w:val="001C0FD4"/>
    <w:rsid w:val="001C3707"/>
    <w:rsid w:val="001C4606"/>
    <w:rsid w:val="001D2AE9"/>
    <w:rsid w:val="001D50BB"/>
    <w:rsid w:val="001D5436"/>
    <w:rsid w:val="001E7E71"/>
    <w:rsid w:val="001F0018"/>
    <w:rsid w:val="001F3732"/>
    <w:rsid w:val="00205416"/>
    <w:rsid w:val="002173D3"/>
    <w:rsid w:val="002202F9"/>
    <w:rsid w:val="002210D6"/>
    <w:rsid w:val="00223C3A"/>
    <w:rsid w:val="00223D3C"/>
    <w:rsid w:val="002250CC"/>
    <w:rsid w:val="00234CC3"/>
    <w:rsid w:val="00235F62"/>
    <w:rsid w:val="00236184"/>
    <w:rsid w:val="00236744"/>
    <w:rsid w:val="00253633"/>
    <w:rsid w:val="00253F39"/>
    <w:rsid w:val="00262150"/>
    <w:rsid w:val="002653B9"/>
    <w:rsid w:val="002659BB"/>
    <w:rsid w:val="00270A1E"/>
    <w:rsid w:val="00272508"/>
    <w:rsid w:val="002844E0"/>
    <w:rsid w:val="00284DDB"/>
    <w:rsid w:val="00294403"/>
    <w:rsid w:val="002947CB"/>
    <w:rsid w:val="00297341"/>
    <w:rsid w:val="002A3D41"/>
    <w:rsid w:val="002A41DB"/>
    <w:rsid w:val="002A569D"/>
    <w:rsid w:val="002B3A18"/>
    <w:rsid w:val="002B6966"/>
    <w:rsid w:val="002C1470"/>
    <w:rsid w:val="002C57CA"/>
    <w:rsid w:val="002D526A"/>
    <w:rsid w:val="002E1A00"/>
    <w:rsid w:val="002E1B8A"/>
    <w:rsid w:val="002E3637"/>
    <w:rsid w:val="002E6992"/>
    <w:rsid w:val="002E6AF4"/>
    <w:rsid w:val="002E7BAA"/>
    <w:rsid w:val="002F0A11"/>
    <w:rsid w:val="002F18DA"/>
    <w:rsid w:val="002F3C4C"/>
    <w:rsid w:val="002F42C8"/>
    <w:rsid w:val="002F4C33"/>
    <w:rsid w:val="002F4E0B"/>
    <w:rsid w:val="0030316A"/>
    <w:rsid w:val="003101C6"/>
    <w:rsid w:val="00312AD0"/>
    <w:rsid w:val="00312E4D"/>
    <w:rsid w:val="00331ACB"/>
    <w:rsid w:val="00331E0C"/>
    <w:rsid w:val="003338BD"/>
    <w:rsid w:val="00334AA8"/>
    <w:rsid w:val="00341281"/>
    <w:rsid w:val="00342447"/>
    <w:rsid w:val="0034370B"/>
    <w:rsid w:val="00343C9B"/>
    <w:rsid w:val="00344EF9"/>
    <w:rsid w:val="00363D80"/>
    <w:rsid w:val="003649C5"/>
    <w:rsid w:val="00367D9C"/>
    <w:rsid w:val="003722CB"/>
    <w:rsid w:val="0037371E"/>
    <w:rsid w:val="00373EF1"/>
    <w:rsid w:val="00380955"/>
    <w:rsid w:val="00381415"/>
    <w:rsid w:val="00386972"/>
    <w:rsid w:val="0039034E"/>
    <w:rsid w:val="003979D6"/>
    <w:rsid w:val="003A215C"/>
    <w:rsid w:val="003A70B7"/>
    <w:rsid w:val="003B5C9D"/>
    <w:rsid w:val="003B5DE3"/>
    <w:rsid w:val="003C0554"/>
    <w:rsid w:val="003C3EEC"/>
    <w:rsid w:val="003C437D"/>
    <w:rsid w:val="003D0807"/>
    <w:rsid w:val="003D3951"/>
    <w:rsid w:val="003E0DD7"/>
    <w:rsid w:val="003E49EC"/>
    <w:rsid w:val="003E656D"/>
    <w:rsid w:val="003E65FA"/>
    <w:rsid w:val="003F0B67"/>
    <w:rsid w:val="003F1476"/>
    <w:rsid w:val="00400A4C"/>
    <w:rsid w:val="00401821"/>
    <w:rsid w:val="004054B0"/>
    <w:rsid w:val="00411E20"/>
    <w:rsid w:val="004169B2"/>
    <w:rsid w:val="0042404A"/>
    <w:rsid w:val="00431C2E"/>
    <w:rsid w:val="00432489"/>
    <w:rsid w:val="00433DC1"/>
    <w:rsid w:val="004350AC"/>
    <w:rsid w:val="004357C5"/>
    <w:rsid w:val="0044023B"/>
    <w:rsid w:val="00445BD0"/>
    <w:rsid w:val="0045035C"/>
    <w:rsid w:val="0045536B"/>
    <w:rsid w:val="00456E7D"/>
    <w:rsid w:val="0045738D"/>
    <w:rsid w:val="00462594"/>
    <w:rsid w:val="0046701B"/>
    <w:rsid w:val="00476425"/>
    <w:rsid w:val="00477C30"/>
    <w:rsid w:val="00483E8E"/>
    <w:rsid w:val="004840F0"/>
    <w:rsid w:val="0049403D"/>
    <w:rsid w:val="0049440A"/>
    <w:rsid w:val="004A1318"/>
    <w:rsid w:val="004A68A7"/>
    <w:rsid w:val="004B464C"/>
    <w:rsid w:val="004B5FC0"/>
    <w:rsid w:val="004B6018"/>
    <w:rsid w:val="004C0C46"/>
    <w:rsid w:val="004C107E"/>
    <w:rsid w:val="004E45A7"/>
    <w:rsid w:val="004E7C3D"/>
    <w:rsid w:val="004F0EF6"/>
    <w:rsid w:val="004F2192"/>
    <w:rsid w:val="00502693"/>
    <w:rsid w:val="00504F1E"/>
    <w:rsid w:val="0051217A"/>
    <w:rsid w:val="0051778B"/>
    <w:rsid w:val="00523B15"/>
    <w:rsid w:val="00523C6B"/>
    <w:rsid w:val="00524024"/>
    <w:rsid w:val="005251C3"/>
    <w:rsid w:val="00541351"/>
    <w:rsid w:val="005442A2"/>
    <w:rsid w:val="005527D6"/>
    <w:rsid w:val="00553053"/>
    <w:rsid w:val="00554068"/>
    <w:rsid w:val="005606E7"/>
    <w:rsid w:val="00562FF7"/>
    <w:rsid w:val="00572257"/>
    <w:rsid w:val="00576855"/>
    <w:rsid w:val="00577788"/>
    <w:rsid w:val="0058416D"/>
    <w:rsid w:val="00591ABA"/>
    <w:rsid w:val="0059210A"/>
    <w:rsid w:val="00595895"/>
    <w:rsid w:val="00597DCA"/>
    <w:rsid w:val="005A67EA"/>
    <w:rsid w:val="005C031F"/>
    <w:rsid w:val="005D0287"/>
    <w:rsid w:val="005D2B4C"/>
    <w:rsid w:val="005D4DED"/>
    <w:rsid w:val="005E3848"/>
    <w:rsid w:val="005E64AD"/>
    <w:rsid w:val="005E651D"/>
    <w:rsid w:val="005F76AE"/>
    <w:rsid w:val="005F7DBC"/>
    <w:rsid w:val="0061496A"/>
    <w:rsid w:val="00616E1D"/>
    <w:rsid w:val="00625420"/>
    <w:rsid w:val="00632ECC"/>
    <w:rsid w:val="0064057B"/>
    <w:rsid w:val="00641DED"/>
    <w:rsid w:val="0064378C"/>
    <w:rsid w:val="00644611"/>
    <w:rsid w:val="0065504D"/>
    <w:rsid w:val="00673EC3"/>
    <w:rsid w:val="00674AB9"/>
    <w:rsid w:val="00682A9C"/>
    <w:rsid w:val="00690500"/>
    <w:rsid w:val="00692ADB"/>
    <w:rsid w:val="006A2F70"/>
    <w:rsid w:val="006A768B"/>
    <w:rsid w:val="006B186F"/>
    <w:rsid w:val="006B319D"/>
    <w:rsid w:val="006B70D6"/>
    <w:rsid w:val="006C213E"/>
    <w:rsid w:val="006C6C15"/>
    <w:rsid w:val="006D0BF0"/>
    <w:rsid w:val="006D49B6"/>
    <w:rsid w:val="006D71C6"/>
    <w:rsid w:val="006E06A0"/>
    <w:rsid w:val="006F080E"/>
    <w:rsid w:val="006F6B82"/>
    <w:rsid w:val="006F7E0E"/>
    <w:rsid w:val="00703D00"/>
    <w:rsid w:val="0070619D"/>
    <w:rsid w:val="0071069D"/>
    <w:rsid w:val="007122B0"/>
    <w:rsid w:val="0071639F"/>
    <w:rsid w:val="00723F04"/>
    <w:rsid w:val="007300C5"/>
    <w:rsid w:val="007302F9"/>
    <w:rsid w:val="00733FC6"/>
    <w:rsid w:val="007349C1"/>
    <w:rsid w:val="00736535"/>
    <w:rsid w:val="00742513"/>
    <w:rsid w:val="00743346"/>
    <w:rsid w:val="00743C94"/>
    <w:rsid w:val="00744FE9"/>
    <w:rsid w:val="00746D28"/>
    <w:rsid w:val="00756BEB"/>
    <w:rsid w:val="007574D4"/>
    <w:rsid w:val="00760FE7"/>
    <w:rsid w:val="007639F6"/>
    <w:rsid w:val="00764D06"/>
    <w:rsid w:val="0076639E"/>
    <w:rsid w:val="007670E4"/>
    <w:rsid w:val="00772355"/>
    <w:rsid w:val="00772BEA"/>
    <w:rsid w:val="00774D07"/>
    <w:rsid w:val="00780DAA"/>
    <w:rsid w:val="00781F0C"/>
    <w:rsid w:val="0078596C"/>
    <w:rsid w:val="00785973"/>
    <w:rsid w:val="007915DC"/>
    <w:rsid w:val="00793164"/>
    <w:rsid w:val="0079335C"/>
    <w:rsid w:val="00793B03"/>
    <w:rsid w:val="00793B44"/>
    <w:rsid w:val="007A0A58"/>
    <w:rsid w:val="007A3733"/>
    <w:rsid w:val="007A3FBD"/>
    <w:rsid w:val="007A597E"/>
    <w:rsid w:val="007A5B50"/>
    <w:rsid w:val="007A5F29"/>
    <w:rsid w:val="007B0296"/>
    <w:rsid w:val="007C1BF2"/>
    <w:rsid w:val="007C4446"/>
    <w:rsid w:val="007C6187"/>
    <w:rsid w:val="007D41C7"/>
    <w:rsid w:val="007D5B86"/>
    <w:rsid w:val="007E3467"/>
    <w:rsid w:val="007F6498"/>
    <w:rsid w:val="00807945"/>
    <w:rsid w:val="008219F1"/>
    <w:rsid w:val="00825E39"/>
    <w:rsid w:val="00827010"/>
    <w:rsid w:val="00827086"/>
    <w:rsid w:val="008307B2"/>
    <w:rsid w:val="008334F9"/>
    <w:rsid w:val="00835506"/>
    <w:rsid w:val="00835544"/>
    <w:rsid w:val="008373FF"/>
    <w:rsid w:val="00847A55"/>
    <w:rsid w:val="008522EC"/>
    <w:rsid w:val="00853088"/>
    <w:rsid w:val="00860D4B"/>
    <w:rsid w:val="00873F4E"/>
    <w:rsid w:val="00877DB3"/>
    <w:rsid w:val="00881D22"/>
    <w:rsid w:val="008831CC"/>
    <w:rsid w:val="00883454"/>
    <w:rsid w:val="008A0E55"/>
    <w:rsid w:val="008A1843"/>
    <w:rsid w:val="008A1A50"/>
    <w:rsid w:val="008A210B"/>
    <w:rsid w:val="008A5622"/>
    <w:rsid w:val="008A6223"/>
    <w:rsid w:val="008B0440"/>
    <w:rsid w:val="008B2EE1"/>
    <w:rsid w:val="008B3E80"/>
    <w:rsid w:val="008B531C"/>
    <w:rsid w:val="008C3CD1"/>
    <w:rsid w:val="008C402B"/>
    <w:rsid w:val="008C5354"/>
    <w:rsid w:val="008C6627"/>
    <w:rsid w:val="008C6E8A"/>
    <w:rsid w:val="008D2137"/>
    <w:rsid w:val="008D2221"/>
    <w:rsid w:val="008D3A99"/>
    <w:rsid w:val="008F54AF"/>
    <w:rsid w:val="0090308B"/>
    <w:rsid w:val="009039EF"/>
    <w:rsid w:val="00903DB1"/>
    <w:rsid w:val="00904865"/>
    <w:rsid w:val="0091099B"/>
    <w:rsid w:val="009121AF"/>
    <w:rsid w:val="0091307C"/>
    <w:rsid w:val="00916759"/>
    <w:rsid w:val="0091737F"/>
    <w:rsid w:val="00923EBA"/>
    <w:rsid w:val="00924735"/>
    <w:rsid w:val="0093130E"/>
    <w:rsid w:val="00932C80"/>
    <w:rsid w:val="009429F0"/>
    <w:rsid w:val="00963194"/>
    <w:rsid w:val="0096631B"/>
    <w:rsid w:val="009676B4"/>
    <w:rsid w:val="0097077F"/>
    <w:rsid w:val="00971DE3"/>
    <w:rsid w:val="009745CC"/>
    <w:rsid w:val="00975E0A"/>
    <w:rsid w:val="00985D25"/>
    <w:rsid w:val="009A256B"/>
    <w:rsid w:val="009C554F"/>
    <w:rsid w:val="009D3846"/>
    <w:rsid w:val="009D3F66"/>
    <w:rsid w:val="009D555B"/>
    <w:rsid w:val="009D7316"/>
    <w:rsid w:val="009E7CC2"/>
    <w:rsid w:val="009F594C"/>
    <w:rsid w:val="009F5D04"/>
    <w:rsid w:val="00A0156A"/>
    <w:rsid w:val="00A018FA"/>
    <w:rsid w:val="00A07CF5"/>
    <w:rsid w:val="00A16A69"/>
    <w:rsid w:val="00A25477"/>
    <w:rsid w:val="00A27AB6"/>
    <w:rsid w:val="00A32A09"/>
    <w:rsid w:val="00A4744C"/>
    <w:rsid w:val="00A52FBE"/>
    <w:rsid w:val="00A56089"/>
    <w:rsid w:val="00A679F5"/>
    <w:rsid w:val="00A67EF5"/>
    <w:rsid w:val="00A71C98"/>
    <w:rsid w:val="00A74A08"/>
    <w:rsid w:val="00A76B46"/>
    <w:rsid w:val="00A77049"/>
    <w:rsid w:val="00A81052"/>
    <w:rsid w:val="00A81C55"/>
    <w:rsid w:val="00A81E45"/>
    <w:rsid w:val="00A82A1C"/>
    <w:rsid w:val="00A830A7"/>
    <w:rsid w:val="00A91509"/>
    <w:rsid w:val="00A9244B"/>
    <w:rsid w:val="00AA0FED"/>
    <w:rsid w:val="00AA5458"/>
    <w:rsid w:val="00AA55FC"/>
    <w:rsid w:val="00AA5A14"/>
    <w:rsid w:val="00AB67D2"/>
    <w:rsid w:val="00AC1318"/>
    <w:rsid w:val="00AC1646"/>
    <w:rsid w:val="00AC221A"/>
    <w:rsid w:val="00AC2629"/>
    <w:rsid w:val="00AC452A"/>
    <w:rsid w:val="00AE09EB"/>
    <w:rsid w:val="00AE4DED"/>
    <w:rsid w:val="00AE6834"/>
    <w:rsid w:val="00AF2B9D"/>
    <w:rsid w:val="00AF35CF"/>
    <w:rsid w:val="00AF6C0C"/>
    <w:rsid w:val="00B05F1A"/>
    <w:rsid w:val="00B06629"/>
    <w:rsid w:val="00B14360"/>
    <w:rsid w:val="00B23996"/>
    <w:rsid w:val="00B37760"/>
    <w:rsid w:val="00B37B27"/>
    <w:rsid w:val="00B40B40"/>
    <w:rsid w:val="00B444E9"/>
    <w:rsid w:val="00B4520D"/>
    <w:rsid w:val="00B741E0"/>
    <w:rsid w:val="00B74E1A"/>
    <w:rsid w:val="00B76883"/>
    <w:rsid w:val="00B957DE"/>
    <w:rsid w:val="00B96543"/>
    <w:rsid w:val="00B96E57"/>
    <w:rsid w:val="00B9745D"/>
    <w:rsid w:val="00BA10C1"/>
    <w:rsid w:val="00BA432E"/>
    <w:rsid w:val="00BA7C3D"/>
    <w:rsid w:val="00BB1DD4"/>
    <w:rsid w:val="00BB47FB"/>
    <w:rsid w:val="00BC0113"/>
    <w:rsid w:val="00BC037F"/>
    <w:rsid w:val="00BC3262"/>
    <w:rsid w:val="00BC41C4"/>
    <w:rsid w:val="00BC66D7"/>
    <w:rsid w:val="00BD763C"/>
    <w:rsid w:val="00BE0CD0"/>
    <w:rsid w:val="00BE2D03"/>
    <w:rsid w:val="00BE7E14"/>
    <w:rsid w:val="00BF05A8"/>
    <w:rsid w:val="00BF21E2"/>
    <w:rsid w:val="00BF5CE2"/>
    <w:rsid w:val="00C03D1F"/>
    <w:rsid w:val="00C05DE9"/>
    <w:rsid w:val="00C072DB"/>
    <w:rsid w:val="00C21A96"/>
    <w:rsid w:val="00C23D17"/>
    <w:rsid w:val="00C24FC2"/>
    <w:rsid w:val="00C26FF7"/>
    <w:rsid w:val="00C30742"/>
    <w:rsid w:val="00C3598E"/>
    <w:rsid w:val="00C36631"/>
    <w:rsid w:val="00C4691C"/>
    <w:rsid w:val="00C477DF"/>
    <w:rsid w:val="00C47FC5"/>
    <w:rsid w:val="00C5631C"/>
    <w:rsid w:val="00C57E21"/>
    <w:rsid w:val="00C6162F"/>
    <w:rsid w:val="00C62F97"/>
    <w:rsid w:val="00C66841"/>
    <w:rsid w:val="00C761DC"/>
    <w:rsid w:val="00C80B69"/>
    <w:rsid w:val="00C83F9B"/>
    <w:rsid w:val="00C871A6"/>
    <w:rsid w:val="00C961E0"/>
    <w:rsid w:val="00CA072B"/>
    <w:rsid w:val="00CA1455"/>
    <w:rsid w:val="00CB0D85"/>
    <w:rsid w:val="00CB3017"/>
    <w:rsid w:val="00CB5674"/>
    <w:rsid w:val="00CB6154"/>
    <w:rsid w:val="00CC264B"/>
    <w:rsid w:val="00CC5AEA"/>
    <w:rsid w:val="00CC78E4"/>
    <w:rsid w:val="00CD35A8"/>
    <w:rsid w:val="00CD7226"/>
    <w:rsid w:val="00CE25DA"/>
    <w:rsid w:val="00CE4FE8"/>
    <w:rsid w:val="00CF66C4"/>
    <w:rsid w:val="00D0340C"/>
    <w:rsid w:val="00D07BB6"/>
    <w:rsid w:val="00D143CB"/>
    <w:rsid w:val="00D22863"/>
    <w:rsid w:val="00D23411"/>
    <w:rsid w:val="00D241C6"/>
    <w:rsid w:val="00D26CF9"/>
    <w:rsid w:val="00D405C2"/>
    <w:rsid w:val="00D523A4"/>
    <w:rsid w:val="00D52A12"/>
    <w:rsid w:val="00D537F5"/>
    <w:rsid w:val="00D53DEC"/>
    <w:rsid w:val="00D70FCA"/>
    <w:rsid w:val="00D7679B"/>
    <w:rsid w:val="00D84BFF"/>
    <w:rsid w:val="00D91375"/>
    <w:rsid w:val="00D922F4"/>
    <w:rsid w:val="00D92AEB"/>
    <w:rsid w:val="00D934E3"/>
    <w:rsid w:val="00D95D8F"/>
    <w:rsid w:val="00DA0CDC"/>
    <w:rsid w:val="00DA5166"/>
    <w:rsid w:val="00DA63EA"/>
    <w:rsid w:val="00DB1AB1"/>
    <w:rsid w:val="00DB1C1C"/>
    <w:rsid w:val="00DB2AA7"/>
    <w:rsid w:val="00DB47FC"/>
    <w:rsid w:val="00DC4249"/>
    <w:rsid w:val="00DD6C4E"/>
    <w:rsid w:val="00DE1DC3"/>
    <w:rsid w:val="00DE4456"/>
    <w:rsid w:val="00DE7273"/>
    <w:rsid w:val="00DF0B8C"/>
    <w:rsid w:val="00DF1B6E"/>
    <w:rsid w:val="00DF23AA"/>
    <w:rsid w:val="00DF7C7A"/>
    <w:rsid w:val="00E02648"/>
    <w:rsid w:val="00E02D6E"/>
    <w:rsid w:val="00E03BC9"/>
    <w:rsid w:val="00E13B99"/>
    <w:rsid w:val="00E15B74"/>
    <w:rsid w:val="00E2263C"/>
    <w:rsid w:val="00E241EF"/>
    <w:rsid w:val="00E32291"/>
    <w:rsid w:val="00E46FE2"/>
    <w:rsid w:val="00E55C6D"/>
    <w:rsid w:val="00E66C8E"/>
    <w:rsid w:val="00E73201"/>
    <w:rsid w:val="00E73E67"/>
    <w:rsid w:val="00E7623A"/>
    <w:rsid w:val="00E87E3D"/>
    <w:rsid w:val="00E93B6D"/>
    <w:rsid w:val="00EA0D63"/>
    <w:rsid w:val="00EA4C3B"/>
    <w:rsid w:val="00EB48D6"/>
    <w:rsid w:val="00EC02D2"/>
    <w:rsid w:val="00EC13D2"/>
    <w:rsid w:val="00EC17BA"/>
    <w:rsid w:val="00EC49E1"/>
    <w:rsid w:val="00ED1393"/>
    <w:rsid w:val="00ED6179"/>
    <w:rsid w:val="00EE34B4"/>
    <w:rsid w:val="00EE7031"/>
    <w:rsid w:val="00EF1D2B"/>
    <w:rsid w:val="00EF606F"/>
    <w:rsid w:val="00F02B4A"/>
    <w:rsid w:val="00F11A4C"/>
    <w:rsid w:val="00F126D3"/>
    <w:rsid w:val="00F13961"/>
    <w:rsid w:val="00F25208"/>
    <w:rsid w:val="00F2521A"/>
    <w:rsid w:val="00F40D2E"/>
    <w:rsid w:val="00F43B39"/>
    <w:rsid w:val="00F45C5C"/>
    <w:rsid w:val="00F47E0F"/>
    <w:rsid w:val="00F5174F"/>
    <w:rsid w:val="00F554D9"/>
    <w:rsid w:val="00F6336D"/>
    <w:rsid w:val="00F63917"/>
    <w:rsid w:val="00F709ED"/>
    <w:rsid w:val="00F71DA8"/>
    <w:rsid w:val="00F725A2"/>
    <w:rsid w:val="00F73AF2"/>
    <w:rsid w:val="00F751FE"/>
    <w:rsid w:val="00F774FE"/>
    <w:rsid w:val="00F77EA1"/>
    <w:rsid w:val="00F82A46"/>
    <w:rsid w:val="00F82C19"/>
    <w:rsid w:val="00F86F2F"/>
    <w:rsid w:val="00F90570"/>
    <w:rsid w:val="00F93996"/>
    <w:rsid w:val="00F97772"/>
    <w:rsid w:val="00FA078A"/>
    <w:rsid w:val="00FA478D"/>
    <w:rsid w:val="00FA4FDA"/>
    <w:rsid w:val="00FA5B6F"/>
    <w:rsid w:val="00FC11FB"/>
    <w:rsid w:val="00FC5682"/>
    <w:rsid w:val="00FC5DC9"/>
    <w:rsid w:val="00FE242B"/>
    <w:rsid w:val="00FF3725"/>
    <w:rsid w:val="00FF4031"/>
    <w:rsid w:val="00FF4568"/>
    <w:rsid w:val="00FF58A4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78776"/>
  <w15:chartTrackingRefBased/>
  <w15:docId w15:val="{51576699-785D-4D69-93E0-8444ACDA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15C"/>
    <w:pPr>
      <w:keepNext/>
      <w:suppressAutoHyphens/>
      <w:spacing w:before="360" w:after="0" w:line="360" w:lineRule="auto"/>
      <w:ind w:left="432" w:hanging="432"/>
      <w:textDirection w:val="btLr"/>
      <w:textAlignment w:val="top"/>
      <w:outlineLvl w:val="0"/>
    </w:pPr>
    <w:rPr>
      <w:rFonts w:ascii="Times New Roman" w:eastAsia="Times New Roman" w:hAnsi="Times New Roman" w:cs="Times New Roman"/>
      <w:b/>
      <w:position w:val="-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B16"/>
  </w:style>
  <w:style w:type="paragraph" w:styleId="Footer">
    <w:name w:val="footer"/>
    <w:basedOn w:val="Normal"/>
    <w:link w:val="FooterChar"/>
    <w:uiPriority w:val="99"/>
    <w:unhideWhenUsed/>
    <w:rsid w:val="000F4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B16"/>
  </w:style>
  <w:style w:type="character" w:customStyle="1" w:styleId="Heading1Char">
    <w:name w:val="Heading 1 Char"/>
    <w:basedOn w:val="DefaultParagraphFont"/>
    <w:link w:val="Heading1"/>
    <w:uiPriority w:val="9"/>
    <w:rsid w:val="003A215C"/>
    <w:rPr>
      <w:rFonts w:ascii="Times New Roman" w:eastAsia="Times New Roman" w:hAnsi="Times New Roman" w:cs="Times New Roman"/>
      <w:b/>
      <w:position w:val="-1"/>
      <w:sz w:val="24"/>
      <w:szCs w:val="20"/>
      <w:lang w:val="ro-RO"/>
    </w:rPr>
  </w:style>
  <w:style w:type="character" w:styleId="Hyperlink">
    <w:name w:val="Hyperlink"/>
    <w:uiPriority w:val="99"/>
    <w:rsid w:val="000F4B1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43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09EB"/>
    <w:pPr>
      <w:spacing w:after="0"/>
      <w:ind w:left="288"/>
      <w:contextualSpacing/>
    </w:pPr>
  </w:style>
  <w:style w:type="paragraph" w:styleId="NoSpacing">
    <w:name w:val="No Spacing"/>
    <w:uiPriority w:val="1"/>
    <w:qFormat/>
    <w:rsid w:val="00F02B4A"/>
    <w:pPr>
      <w:spacing w:after="0" w:line="240" w:lineRule="auto"/>
    </w:pPr>
    <w:rPr>
      <w:rFonts w:ascii="Times New Roman" w:hAnsi="Times New Roman"/>
      <w:sz w:val="24"/>
    </w:rPr>
  </w:style>
  <w:style w:type="table" w:styleId="PlainTable5">
    <w:name w:val="Plain Table 5"/>
    <w:basedOn w:val="TableNormal"/>
    <w:uiPriority w:val="45"/>
    <w:rsid w:val="00F9399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F0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5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5A8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C1BF2"/>
    <w:pPr>
      <w:keepLines/>
      <w:suppressAutoHyphens w:val="0"/>
      <w:spacing w:before="240" w:line="259" w:lineRule="auto"/>
      <w:ind w:left="0" w:firstLine="0"/>
      <w:textDirection w:val="lrTb"/>
      <w:textAlignment w:val="auto"/>
      <w:outlineLvl w:val="9"/>
    </w:pPr>
    <w:rPr>
      <w:rFonts w:eastAsiaTheme="majorEastAsia" w:cstheme="majorBidi"/>
      <w:color w:val="2F5496" w:themeColor="accent1" w:themeShade="BF"/>
      <w:positio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7679B"/>
    <w:pPr>
      <w:tabs>
        <w:tab w:val="left" w:pos="440"/>
        <w:tab w:val="right" w:leader="dot" w:pos="9396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C1BF2"/>
    <w:pPr>
      <w:spacing w:after="100"/>
      <w:ind w:left="220"/>
    </w:pPr>
  </w:style>
  <w:style w:type="paragraph" w:styleId="Revision">
    <w:name w:val="Revision"/>
    <w:hidden/>
    <w:uiPriority w:val="99"/>
    <w:semiHidden/>
    <w:rsid w:val="007E346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C535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1C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41C7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1A1B1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1B1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66840-E8E8-404B-8023-CFCE6E52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3715</Words>
  <Characters>21177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 Muraru</dc:creator>
  <cp:keywords/>
  <dc:description/>
  <cp:lastModifiedBy>Catalina Popa</cp:lastModifiedBy>
  <cp:revision>2</cp:revision>
  <cp:lastPrinted>2022-10-31T11:02:00Z</cp:lastPrinted>
  <dcterms:created xsi:type="dcterms:W3CDTF">2024-10-04T06:09:00Z</dcterms:created>
  <dcterms:modified xsi:type="dcterms:W3CDTF">2024-10-04T06:09:00Z</dcterms:modified>
</cp:coreProperties>
</file>