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3B3" w:rsidRDefault="00000000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Instrucțiunea</w:t>
      </w:r>
      <w:proofErr w:type="spellEnd"/>
      <w:r>
        <w:rPr>
          <w:rFonts w:ascii="Arial" w:hAnsi="Arial" w:cs="Arial"/>
          <w:sz w:val="32"/>
          <w:szCs w:val="32"/>
        </w:rPr>
        <w:t xml:space="preserve"> 6</w:t>
      </w:r>
    </w:p>
    <w:p w:rsidR="006333B3" w:rsidRDefault="00000000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privind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elementele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Structura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Zilnică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Contului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și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rapoartele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furnizate</w:t>
      </w:r>
      <w:proofErr w:type="spellEnd"/>
      <w:r>
        <w:rPr>
          <w:rFonts w:ascii="Arial" w:hAnsi="Arial" w:cs="Arial"/>
          <w:sz w:val="32"/>
          <w:szCs w:val="32"/>
        </w:rPr>
        <w:t xml:space="preserve"> de BRM </w:t>
      </w:r>
      <w:proofErr w:type="spellStart"/>
      <w:r>
        <w:rPr>
          <w:rFonts w:ascii="Arial" w:hAnsi="Arial" w:cs="Arial"/>
          <w:sz w:val="32"/>
          <w:szCs w:val="32"/>
        </w:rPr>
        <w:t>către</w:t>
      </w:r>
      <w:proofErr w:type="spellEnd"/>
      <w:r>
        <w:rPr>
          <w:rFonts w:ascii="Arial" w:hAnsi="Arial" w:cs="Arial"/>
          <w:sz w:val="32"/>
          <w:szCs w:val="32"/>
        </w:rPr>
        <w:t xml:space="preserve"> MC</w:t>
      </w:r>
    </w:p>
    <w:p w:rsidR="006333B3" w:rsidRDefault="00000000">
      <w:pPr>
        <w:jc w:val="center"/>
        <w:rPr>
          <w:i/>
          <w:iCs/>
          <w:color w:val="007BB8"/>
        </w:rPr>
      </w:pPr>
      <w:proofErr w:type="spellStart"/>
      <w:r>
        <w:rPr>
          <w:i/>
          <w:iCs/>
          <w:color w:val="007BB8"/>
        </w:rPr>
        <w:t>anexă</w:t>
      </w:r>
      <w:proofErr w:type="spellEnd"/>
      <w:r>
        <w:rPr>
          <w:i/>
          <w:iCs/>
          <w:color w:val="007BB8"/>
        </w:rPr>
        <w:t xml:space="preserve"> la </w:t>
      </w:r>
      <w:proofErr w:type="spellStart"/>
      <w:r>
        <w:rPr>
          <w:i/>
          <w:iCs/>
          <w:color w:val="007BB8"/>
        </w:rPr>
        <w:t>Regulamentul</w:t>
      </w:r>
      <w:proofErr w:type="spellEnd"/>
      <w:r>
        <w:rPr>
          <w:i/>
          <w:iCs/>
          <w:color w:val="007BB8"/>
        </w:rPr>
        <w:t xml:space="preserve"> de </w:t>
      </w:r>
      <w:proofErr w:type="spellStart"/>
      <w:r>
        <w:rPr>
          <w:i/>
          <w:iCs/>
          <w:color w:val="007BB8"/>
        </w:rPr>
        <w:t>compensare</w:t>
      </w:r>
      <w:proofErr w:type="spellEnd"/>
      <w:r>
        <w:rPr>
          <w:i/>
          <w:iCs/>
          <w:color w:val="007BB8"/>
        </w:rPr>
        <w:t xml:space="preserve">, </w:t>
      </w:r>
      <w:proofErr w:type="spellStart"/>
      <w:r>
        <w:rPr>
          <w:i/>
          <w:iCs/>
          <w:color w:val="007BB8"/>
        </w:rPr>
        <w:t>decontare</w:t>
      </w:r>
      <w:proofErr w:type="spellEnd"/>
      <w:r>
        <w:rPr>
          <w:i/>
          <w:iCs/>
          <w:color w:val="007BB8"/>
        </w:rPr>
        <w:t xml:space="preserve"> </w:t>
      </w:r>
      <w:proofErr w:type="spellStart"/>
      <w:r>
        <w:rPr>
          <w:i/>
          <w:iCs/>
          <w:color w:val="007BB8"/>
        </w:rPr>
        <w:t>și</w:t>
      </w:r>
      <w:proofErr w:type="spellEnd"/>
      <w:r>
        <w:rPr>
          <w:i/>
          <w:iCs/>
          <w:color w:val="007BB8"/>
        </w:rPr>
        <w:t xml:space="preserve"> </w:t>
      </w:r>
      <w:proofErr w:type="spellStart"/>
      <w:r>
        <w:rPr>
          <w:i/>
          <w:iCs/>
          <w:color w:val="007BB8"/>
        </w:rPr>
        <w:t>gestionare</w:t>
      </w:r>
      <w:proofErr w:type="spellEnd"/>
      <w:r>
        <w:rPr>
          <w:i/>
          <w:iCs/>
          <w:color w:val="007BB8"/>
        </w:rPr>
        <w:t xml:space="preserve"> a </w:t>
      </w:r>
      <w:proofErr w:type="spellStart"/>
      <w:r>
        <w:rPr>
          <w:i/>
          <w:iCs/>
          <w:color w:val="007BB8"/>
        </w:rPr>
        <w:t>riscului</w:t>
      </w:r>
      <w:proofErr w:type="spellEnd"/>
      <w:r>
        <w:rPr>
          <w:i/>
          <w:iCs/>
          <w:color w:val="007BB8"/>
        </w:rPr>
        <w:t xml:space="preserve"> al </w:t>
      </w:r>
      <w:proofErr w:type="spellStart"/>
      <w:r>
        <w:rPr>
          <w:i/>
          <w:iCs/>
          <w:color w:val="007BB8"/>
        </w:rPr>
        <w:t>Bursei</w:t>
      </w:r>
      <w:proofErr w:type="spellEnd"/>
      <w:r>
        <w:rPr>
          <w:i/>
          <w:iCs/>
          <w:color w:val="007BB8"/>
        </w:rPr>
        <w:t xml:space="preserve"> </w:t>
      </w:r>
      <w:proofErr w:type="spellStart"/>
      <w:r>
        <w:rPr>
          <w:i/>
          <w:iCs/>
          <w:color w:val="007BB8"/>
        </w:rPr>
        <w:t>Române</w:t>
      </w:r>
      <w:proofErr w:type="spellEnd"/>
      <w:r>
        <w:rPr>
          <w:i/>
          <w:iCs/>
          <w:color w:val="007BB8"/>
        </w:rPr>
        <w:t xml:space="preserve"> de </w:t>
      </w:r>
      <w:proofErr w:type="spellStart"/>
      <w:r>
        <w:rPr>
          <w:i/>
          <w:iCs/>
          <w:color w:val="007BB8"/>
        </w:rPr>
        <w:t>Mărfuri</w:t>
      </w:r>
      <w:proofErr w:type="spellEnd"/>
      <w:r>
        <w:rPr>
          <w:i/>
          <w:iCs/>
          <w:color w:val="007BB8"/>
        </w:rPr>
        <w:t xml:space="preserve"> </w:t>
      </w:r>
      <w:proofErr w:type="spellStart"/>
      <w:r>
        <w:rPr>
          <w:i/>
          <w:iCs/>
          <w:color w:val="007BB8"/>
        </w:rPr>
        <w:t>în</w:t>
      </w:r>
      <w:proofErr w:type="spellEnd"/>
      <w:r>
        <w:rPr>
          <w:i/>
          <w:iCs/>
          <w:color w:val="007BB8"/>
        </w:rPr>
        <w:t xml:space="preserve"> </w:t>
      </w:r>
      <w:proofErr w:type="spellStart"/>
      <w:r>
        <w:rPr>
          <w:i/>
          <w:iCs/>
          <w:color w:val="007BB8"/>
        </w:rPr>
        <w:t>calitate</w:t>
      </w:r>
      <w:proofErr w:type="spellEnd"/>
      <w:r>
        <w:rPr>
          <w:i/>
          <w:iCs/>
          <w:color w:val="007BB8"/>
        </w:rPr>
        <w:t xml:space="preserve"> de </w:t>
      </w:r>
      <w:proofErr w:type="spellStart"/>
      <w:r>
        <w:rPr>
          <w:i/>
          <w:iCs/>
          <w:color w:val="007BB8"/>
        </w:rPr>
        <w:t>Contraparte</w:t>
      </w:r>
      <w:proofErr w:type="spellEnd"/>
      <w:r>
        <w:rPr>
          <w:i/>
          <w:iCs/>
          <w:color w:val="007BB8"/>
        </w:rPr>
        <w:t xml:space="preserve"> pe </w:t>
      </w:r>
      <w:proofErr w:type="spellStart"/>
      <w:r>
        <w:rPr>
          <w:i/>
          <w:iCs/>
          <w:color w:val="007BB8"/>
        </w:rPr>
        <w:t>piețele</w:t>
      </w:r>
      <w:proofErr w:type="spellEnd"/>
      <w:r>
        <w:rPr>
          <w:i/>
          <w:iCs/>
          <w:color w:val="007BB8"/>
        </w:rPr>
        <w:t xml:space="preserve"> de </w:t>
      </w:r>
      <w:proofErr w:type="spellStart"/>
      <w:r>
        <w:rPr>
          <w:i/>
          <w:iCs/>
          <w:color w:val="007BB8"/>
        </w:rPr>
        <w:t>energie</w:t>
      </w:r>
      <w:proofErr w:type="spellEnd"/>
      <w:r>
        <w:rPr>
          <w:i/>
          <w:iCs/>
          <w:color w:val="007BB8"/>
        </w:rPr>
        <w:t xml:space="preserve"> </w:t>
      </w:r>
      <w:proofErr w:type="spellStart"/>
      <w:r>
        <w:rPr>
          <w:i/>
          <w:iCs/>
          <w:color w:val="007BB8"/>
        </w:rPr>
        <w:t>electrică</w:t>
      </w:r>
      <w:proofErr w:type="spellEnd"/>
    </w:p>
    <w:p w:rsidR="006333B3" w:rsidRDefault="006333B3">
      <w:pPr>
        <w:jc w:val="center"/>
      </w:pPr>
    </w:p>
    <w:p w:rsidR="006333B3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Structura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Zilnică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Contului</w:t>
      </w:r>
      <w:proofErr w:type="spellEnd"/>
    </w:p>
    <w:p w:rsidR="006333B3" w:rsidRDefault="006333B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rFonts w:ascii="Arial" w:hAnsi="Arial" w:cs="Arial"/>
          <w:b/>
          <w:bCs/>
          <w:sz w:val="20"/>
          <w:szCs w:val="20"/>
        </w:rPr>
        <w:t>Soldul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contului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Totalul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Garanțiilor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constituite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MC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Garanțiile</w:t>
      </w:r>
      <w:proofErr w:type="spellEnd"/>
      <w:r>
        <w:rPr>
          <w:rFonts w:ascii="Arial" w:hAnsi="Arial" w:cs="Arial"/>
          <w:sz w:val="20"/>
          <w:szCs w:val="20"/>
        </w:rPr>
        <w:t xml:space="preserve"> sunt </w:t>
      </w:r>
      <w:proofErr w:type="spellStart"/>
      <w:r>
        <w:rPr>
          <w:rFonts w:ascii="Arial" w:hAnsi="Arial" w:cs="Arial"/>
          <w:sz w:val="20"/>
          <w:szCs w:val="20"/>
        </w:rPr>
        <w:t>constituite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MC (SGB, </w:t>
      </w:r>
      <w:proofErr w:type="spellStart"/>
      <w:r>
        <w:rPr>
          <w:rFonts w:ascii="Arial" w:hAnsi="Arial" w:cs="Arial"/>
          <w:sz w:val="20"/>
          <w:szCs w:val="20"/>
        </w:rPr>
        <w:t>cont</w:t>
      </w:r>
      <w:proofErr w:type="spellEnd"/>
      <w:r>
        <w:rPr>
          <w:rFonts w:ascii="Arial" w:hAnsi="Arial" w:cs="Arial"/>
          <w:sz w:val="20"/>
          <w:szCs w:val="20"/>
        </w:rPr>
        <w:t xml:space="preserve"> escrow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fonduri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bănești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furnizate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ordin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plată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retrase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BRM din </w:t>
      </w:r>
      <w:proofErr w:type="spellStart"/>
      <w:r>
        <w:rPr>
          <w:rFonts w:ascii="Arial" w:hAnsi="Arial" w:cs="Arial"/>
          <w:sz w:val="20"/>
          <w:szCs w:val="20"/>
        </w:rPr>
        <w:t>Contul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Disponibil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Direct Debit); 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Soldul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pozitivă</w:t>
      </w:r>
      <w:proofErr w:type="spellEnd"/>
      <w:r>
        <w:rPr>
          <w:rFonts w:ascii="Arial" w:hAnsi="Arial" w:cs="Arial"/>
          <w:sz w:val="20"/>
          <w:szCs w:val="20"/>
        </w:rPr>
        <w:t xml:space="preserve"> (minim 0);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Soldul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evidențiază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analitic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fondurile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bănești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numerar.Limita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Risc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33B3" w:rsidRDefault="006333B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rFonts w:ascii="Arial" w:hAnsi="Arial" w:cs="Arial"/>
          <w:b/>
          <w:bCs/>
          <w:sz w:val="20"/>
          <w:szCs w:val="20"/>
        </w:rPr>
        <w:t>Limita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Risc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Totalul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necesare</w:t>
      </w:r>
      <w:proofErr w:type="spellEnd"/>
      <w:r>
        <w:rPr>
          <w:rFonts w:ascii="Arial" w:hAnsi="Arial" w:cs="Arial"/>
          <w:sz w:val="20"/>
          <w:szCs w:val="20"/>
        </w:rPr>
        <w:t xml:space="preserve"> a fi </w:t>
      </w:r>
      <w:proofErr w:type="spellStart"/>
      <w:r>
        <w:rPr>
          <w:rFonts w:ascii="Arial" w:hAnsi="Arial" w:cs="Arial"/>
          <w:sz w:val="20"/>
          <w:szCs w:val="20"/>
        </w:rPr>
        <w:t>constituite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MC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Totalul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marjelor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:rsidR="006333B3" w:rsidRDefault="00000000">
      <w:pPr>
        <w:pStyle w:val="List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Marja </w:t>
      </w:r>
      <w:proofErr w:type="spellStart"/>
      <w:r>
        <w:rPr>
          <w:rFonts w:ascii="Arial" w:hAnsi="Arial" w:cs="Arial"/>
          <w:sz w:val="20"/>
          <w:szCs w:val="20"/>
        </w:rPr>
        <w:t>Inițială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cumulată</w:t>
      </w:r>
      <w:proofErr w:type="spellEnd"/>
      <w:r>
        <w:rPr>
          <w:rFonts w:ascii="Arial" w:hAnsi="Arial" w:cs="Arial"/>
          <w:sz w:val="20"/>
          <w:szCs w:val="20"/>
        </w:rPr>
        <w:t xml:space="preserve"> + Marja de </w:t>
      </w:r>
      <w:proofErr w:type="spellStart"/>
      <w:r>
        <w:rPr>
          <w:rFonts w:ascii="Arial" w:hAnsi="Arial" w:cs="Arial"/>
          <w:sz w:val="20"/>
          <w:szCs w:val="20"/>
        </w:rPr>
        <w:t>Variație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cumulată</w:t>
      </w:r>
      <w:proofErr w:type="spellEnd"/>
      <w:r>
        <w:rPr>
          <w:rFonts w:ascii="Arial" w:hAnsi="Arial" w:cs="Arial"/>
          <w:sz w:val="20"/>
          <w:szCs w:val="20"/>
        </w:rPr>
        <w:t xml:space="preserve"> + Marja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Fizică</w:t>
      </w:r>
      <w:proofErr w:type="spellEnd"/>
      <w:r>
        <w:rPr>
          <w:rFonts w:ascii="Arial" w:hAnsi="Arial" w:cs="Arial"/>
          <w:sz w:val="20"/>
          <w:szCs w:val="20"/>
        </w:rPr>
        <w:t xml:space="preserve"> cumulate;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Marja </w:t>
      </w:r>
      <w:proofErr w:type="spellStart"/>
      <w:r>
        <w:rPr>
          <w:rFonts w:ascii="Arial" w:hAnsi="Arial" w:cs="Arial"/>
          <w:sz w:val="20"/>
          <w:szCs w:val="20"/>
        </w:rPr>
        <w:t>Inițială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cumulată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negativă</w:t>
      </w:r>
      <w:proofErr w:type="spellEnd"/>
      <w:r>
        <w:rPr>
          <w:rFonts w:ascii="Arial" w:hAnsi="Arial" w:cs="Arial"/>
          <w:sz w:val="20"/>
          <w:szCs w:val="20"/>
        </w:rPr>
        <w:t xml:space="preserve"> (-)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0;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Marja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Fizică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cumulată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avea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negativă</w:t>
      </w:r>
      <w:proofErr w:type="spellEnd"/>
      <w:r>
        <w:rPr>
          <w:rFonts w:ascii="Arial" w:hAnsi="Arial" w:cs="Arial"/>
          <w:sz w:val="20"/>
          <w:szCs w:val="20"/>
        </w:rPr>
        <w:t xml:space="preserve"> (-)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0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pozitivă</w:t>
      </w:r>
      <w:proofErr w:type="spellEnd"/>
      <w:r>
        <w:rPr>
          <w:rFonts w:ascii="Arial" w:hAnsi="Arial" w:cs="Arial"/>
          <w:sz w:val="20"/>
          <w:szCs w:val="20"/>
        </w:rPr>
        <w:t xml:space="preserve"> (+);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există</w:t>
      </w:r>
      <w:proofErr w:type="spellEnd"/>
      <w:r>
        <w:rPr>
          <w:rFonts w:ascii="Arial" w:hAnsi="Arial" w:cs="Arial"/>
          <w:sz w:val="20"/>
          <w:szCs w:val="20"/>
        </w:rPr>
        <w:t xml:space="preserve"> Marje de </w:t>
      </w:r>
      <w:proofErr w:type="spellStart"/>
      <w:r>
        <w:rPr>
          <w:rFonts w:ascii="Arial" w:hAnsi="Arial" w:cs="Arial"/>
          <w:sz w:val="20"/>
          <w:szCs w:val="20"/>
        </w:rPr>
        <w:t>Variație</w:t>
      </w:r>
      <w:proofErr w:type="spellEnd"/>
      <w:r>
        <w:rPr>
          <w:rFonts w:ascii="Arial" w:hAnsi="Arial" w:cs="Arial"/>
          <w:sz w:val="20"/>
          <w:szCs w:val="20"/>
        </w:rPr>
        <w:t xml:space="preserve"> pe Contract </w:t>
      </w:r>
      <w:proofErr w:type="spellStart"/>
      <w:r>
        <w:rPr>
          <w:rFonts w:ascii="Arial" w:hAnsi="Arial" w:cs="Arial"/>
          <w:sz w:val="20"/>
          <w:szCs w:val="20"/>
        </w:rPr>
        <w:t>pozitive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vor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ajustate</w:t>
      </w:r>
      <w:proofErr w:type="spellEnd"/>
      <w:r>
        <w:rPr>
          <w:rFonts w:ascii="Arial" w:hAnsi="Arial" w:cs="Arial"/>
          <w:sz w:val="20"/>
          <w:szCs w:val="20"/>
        </w:rPr>
        <w:t xml:space="preserve"> la maxim </w:t>
      </w:r>
      <w:proofErr w:type="spellStart"/>
      <w:r>
        <w:rPr>
          <w:rFonts w:ascii="Arial" w:hAnsi="Arial" w:cs="Arial"/>
          <w:sz w:val="20"/>
          <w:szCs w:val="20"/>
        </w:rPr>
        <w:t>nivel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compensare</w:t>
      </w:r>
      <w:proofErr w:type="spellEnd"/>
      <w:r>
        <w:rPr>
          <w:rFonts w:ascii="Arial" w:hAnsi="Arial" w:cs="Arial"/>
          <w:sz w:val="20"/>
          <w:szCs w:val="20"/>
        </w:rPr>
        <w:t xml:space="preserve"> conform </w:t>
      </w:r>
      <w:proofErr w:type="spellStart"/>
      <w:r>
        <w:rPr>
          <w:rFonts w:ascii="Arial" w:hAnsi="Arial" w:cs="Arial"/>
          <w:sz w:val="20"/>
          <w:szCs w:val="20"/>
        </w:rPr>
        <w:t>Regulamentului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vederea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Variație</w:t>
      </w:r>
      <w:proofErr w:type="spellEnd"/>
      <w:r>
        <w:rPr>
          <w:rFonts w:ascii="Arial" w:hAnsi="Arial" w:cs="Arial"/>
          <w:sz w:val="20"/>
          <w:szCs w:val="20"/>
        </w:rPr>
        <w:t xml:space="preserve"> cumulate.</w:t>
      </w:r>
    </w:p>
    <w:p w:rsidR="006333B3" w:rsidRDefault="006333B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333B3" w:rsidRDefault="006333B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0"/>
          <w:numId w:val="2"/>
        </w:num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Apelul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în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Marjă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situația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necesar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garanții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suplimentare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respectiv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)+(ii) &lt; 0. </w:t>
      </w:r>
    </w:p>
    <w:p w:rsidR="006333B3" w:rsidRDefault="00000000">
      <w:pPr>
        <w:ind w:left="360"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Valoarea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Apelului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)+(ii).</w:t>
      </w:r>
    </w:p>
    <w:p w:rsidR="006333B3" w:rsidRDefault="00000000">
      <w:pPr>
        <w:pStyle w:val="ListParagraph"/>
        <w:numPr>
          <w:ilvl w:val="0"/>
          <w:numId w:val="2"/>
        </w:num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Limita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tranzacționare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situația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excedent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Garanții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respective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)+(ii</w:t>
      </w:r>
      <w:proofErr w:type="gramStart"/>
      <w:r>
        <w:rPr>
          <w:rFonts w:ascii="Arial" w:hAnsi="Arial" w:cs="Arial"/>
          <w:sz w:val="20"/>
          <w:szCs w:val="20"/>
        </w:rPr>
        <w:t>)  &gt;</w:t>
      </w:r>
      <w:proofErr w:type="gramEnd"/>
      <w:r>
        <w:rPr>
          <w:rFonts w:ascii="Arial" w:hAnsi="Arial" w:cs="Arial"/>
          <w:sz w:val="20"/>
          <w:szCs w:val="20"/>
        </w:rPr>
        <w:t xml:space="preserve">  0.</w:t>
      </w:r>
    </w:p>
    <w:p w:rsidR="006333B3" w:rsidRDefault="00000000">
      <w:pPr>
        <w:ind w:left="360" w:firstLine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Valoarea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limitei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tranzacționare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de (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>) + (ii).</w:t>
      </w:r>
    </w:p>
    <w:p w:rsidR="006333B3" w:rsidRDefault="00000000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rFonts w:ascii="Arial" w:hAnsi="Arial" w:cs="Arial"/>
          <w:b/>
          <w:bCs/>
          <w:sz w:val="20"/>
          <w:szCs w:val="20"/>
        </w:rPr>
        <w:t>Disponibilul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numerar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fondurile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Soldul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depuse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numerar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neblocate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Marje. </w:t>
      </w:r>
      <w:proofErr w:type="spellStart"/>
      <w:r>
        <w:rPr>
          <w:rFonts w:ascii="Arial" w:hAnsi="Arial" w:cs="Arial"/>
          <w:sz w:val="20"/>
          <w:szCs w:val="20"/>
        </w:rPr>
        <w:t>Există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care (1) +(2) &gt;0.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Disponibilul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numerar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parte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Soldul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Contului</w:t>
      </w:r>
      <w:proofErr w:type="spellEnd"/>
      <w:r>
        <w:rPr>
          <w:rFonts w:ascii="Arial" w:hAnsi="Arial" w:cs="Arial"/>
          <w:sz w:val="20"/>
          <w:szCs w:val="20"/>
        </w:rPr>
        <w:t xml:space="preserve"> cu o </w:t>
      </w:r>
      <w:proofErr w:type="spellStart"/>
      <w:r>
        <w:rPr>
          <w:rFonts w:ascii="Arial" w:hAnsi="Arial" w:cs="Arial"/>
          <w:sz w:val="20"/>
          <w:szCs w:val="20"/>
        </w:rPr>
        <w:t>valoare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cuprinsă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0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maximum </w:t>
      </w:r>
      <w:proofErr w:type="spellStart"/>
      <w:r>
        <w:rPr>
          <w:rFonts w:ascii="Arial" w:hAnsi="Arial" w:cs="Arial"/>
          <w:sz w:val="20"/>
          <w:szCs w:val="20"/>
        </w:rPr>
        <w:t>valoarea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Soldului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Contului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Disponibilul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numerar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reprezintă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retrasă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efectiv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un MC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acord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Instrucțiunea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Stabilirea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respectarea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Instrucțiunii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Determinarea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Fizică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Disponibilul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numerar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reprezintă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suma</w:t>
      </w:r>
      <w:proofErr w:type="spellEnd"/>
      <w:r>
        <w:rPr>
          <w:rFonts w:ascii="Arial" w:hAnsi="Arial" w:cs="Arial"/>
          <w:sz w:val="20"/>
          <w:szCs w:val="20"/>
        </w:rPr>
        <w:t xml:space="preserve"> de bani la </w:t>
      </w:r>
      <w:proofErr w:type="spellStart"/>
      <w:r>
        <w:rPr>
          <w:rFonts w:ascii="Arial" w:hAnsi="Arial" w:cs="Arial"/>
          <w:sz w:val="20"/>
          <w:szCs w:val="20"/>
        </w:rPr>
        <w:t>dispoziția</w:t>
      </w:r>
      <w:proofErr w:type="spellEnd"/>
      <w:r>
        <w:rPr>
          <w:rFonts w:ascii="Arial" w:hAnsi="Arial" w:cs="Arial"/>
          <w:sz w:val="20"/>
          <w:szCs w:val="20"/>
        </w:rPr>
        <w:t xml:space="preserve"> MC </w:t>
      </w:r>
      <w:proofErr w:type="spellStart"/>
      <w:r>
        <w:rPr>
          <w:rFonts w:ascii="Arial" w:hAnsi="Arial" w:cs="Arial"/>
          <w:sz w:val="20"/>
          <w:szCs w:val="20"/>
        </w:rPr>
        <w:t>nefiind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afectată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Pozițiile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deschise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ordinele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Piață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Disponibilul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numerar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evidențiază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situațiile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zilnice</w:t>
      </w:r>
      <w:proofErr w:type="spellEnd"/>
      <w:r>
        <w:rPr>
          <w:rFonts w:ascii="Arial" w:hAnsi="Arial" w:cs="Arial"/>
          <w:sz w:val="20"/>
          <w:szCs w:val="20"/>
        </w:rPr>
        <w:t xml:space="preserve"> remise MC;</w:t>
      </w:r>
    </w:p>
    <w:p w:rsidR="006333B3" w:rsidRDefault="0000000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Disponbilul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numerar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poate</w:t>
      </w:r>
      <w:proofErr w:type="spellEnd"/>
      <w:r>
        <w:rPr>
          <w:rFonts w:ascii="Arial" w:hAnsi="Arial" w:cs="Arial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sz w:val="20"/>
          <w:szCs w:val="20"/>
        </w:rPr>
        <w:t>solicitat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oricând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MC, </w:t>
      </w:r>
      <w:proofErr w:type="spellStart"/>
      <w:r>
        <w:rPr>
          <w:rFonts w:ascii="Arial" w:hAnsi="Arial" w:cs="Arial"/>
          <w:sz w:val="20"/>
          <w:szCs w:val="20"/>
        </w:rPr>
        <w:t>idar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eliberararea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către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bancar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plata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acestuia</w:t>
      </w:r>
      <w:proofErr w:type="spellEnd"/>
      <w:r>
        <w:rPr>
          <w:rFonts w:ascii="Arial" w:hAnsi="Arial" w:cs="Arial"/>
          <w:sz w:val="20"/>
          <w:szCs w:val="20"/>
        </w:rPr>
        <w:t xml:space="preserve">) se face </w:t>
      </w:r>
      <w:proofErr w:type="spellStart"/>
      <w:r>
        <w:rPr>
          <w:rFonts w:ascii="Arial" w:hAnsi="Arial" w:cs="Arial"/>
          <w:sz w:val="20"/>
          <w:szCs w:val="20"/>
        </w:rPr>
        <w:t>doar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condiția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menținerii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încadrării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Limita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Risc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finalul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Zilei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33B3" w:rsidRDefault="006333B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Taxe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și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comisioane</w:t>
      </w:r>
      <w:proofErr w:type="spellEnd"/>
    </w:p>
    <w:p w:rsidR="006333B3" w:rsidRDefault="0000000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Taxele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comisioanele</w:t>
      </w:r>
      <w:proofErr w:type="spellEnd"/>
      <w:r>
        <w:rPr>
          <w:rFonts w:ascii="Arial" w:hAnsi="Arial" w:cs="Arial"/>
          <w:sz w:val="20"/>
          <w:szCs w:val="20"/>
        </w:rPr>
        <w:t xml:space="preserve"> sunt </w:t>
      </w:r>
      <w:proofErr w:type="spellStart"/>
      <w:r>
        <w:rPr>
          <w:rFonts w:ascii="Arial" w:hAnsi="Arial" w:cs="Arial"/>
          <w:sz w:val="20"/>
          <w:szCs w:val="20"/>
        </w:rPr>
        <w:t>doar</w:t>
      </w:r>
      <w:proofErr w:type="spellEnd"/>
      <w:r>
        <w:rPr>
          <w:rFonts w:ascii="Arial" w:hAnsi="Arial" w:cs="Arial"/>
          <w:sz w:val="20"/>
          <w:szCs w:val="20"/>
        </w:rPr>
        <w:t xml:space="preserve"> calculate la </w:t>
      </w:r>
      <w:proofErr w:type="spellStart"/>
      <w:r>
        <w:rPr>
          <w:rFonts w:ascii="Arial" w:hAnsi="Arial" w:cs="Arial"/>
          <w:sz w:val="20"/>
          <w:szCs w:val="20"/>
        </w:rPr>
        <w:t>nivelul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Contului</w:t>
      </w:r>
      <w:proofErr w:type="spellEnd"/>
      <w:r>
        <w:rPr>
          <w:rFonts w:ascii="Arial" w:hAnsi="Arial" w:cs="Arial"/>
          <w:sz w:val="20"/>
          <w:szCs w:val="20"/>
        </w:rPr>
        <w:t xml:space="preserve">. Nu se </w:t>
      </w:r>
      <w:proofErr w:type="spellStart"/>
      <w:r>
        <w:rPr>
          <w:rFonts w:ascii="Arial" w:hAnsi="Arial" w:cs="Arial"/>
          <w:sz w:val="20"/>
          <w:szCs w:val="20"/>
        </w:rPr>
        <w:t>iau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stabilirea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nivelului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Garanții</w:t>
      </w:r>
      <w:proofErr w:type="spellEnd"/>
      <w:r>
        <w:rPr>
          <w:rFonts w:ascii="Arial" w:hAnsi="Arial" w:cs="Arial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sz w:val="20"/>
          <w:szCs w:val="20"/>
        </w:rPr>
        <w:t>Limitei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Tranzacționare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sau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Apelului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33B3" w:rsidRDefault="006333B3">
      <w:pPr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Rapoarte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furnizate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BRM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către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MC</w:t>
      </w:r>
    </w:p>
    <w:p w:rsidR="006333B3" w:rsidRDefault="00000000">
      <w:pPr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Listă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rapoarte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333B3" w:rsidRDefault="0000000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Raport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tranzacționare</w:t>
      </w:r>
      <w:proofErr w:type="spellEnd"/>
    </w:p>
    <w:p w:rsidR="006333B3" w:rsidRDefault="00000000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Tranzacții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executate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cadrul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curente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33B3" w:rsidRDefault="006333B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Raport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privind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ordinele</w:t>
      </w:r>
      <w:proofErr w:type="spellEnd"/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ordine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introduse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Piață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cadrul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curente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Evidențiază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ordinele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tranzacționare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durată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valabilitate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următoare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33B3" w:rsidRDefault="006333B3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Situația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zilnică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Contului</w:t>
      </w:r>
      <w:proofErr w:type="spellEnd"/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</w:t>
      </w:r>
      <w:proofErr w:type="spellStart"/>
      <w:r>
        <w:rPr>
          <w:rFonts w:ascii="Arial" w:hAnsi="Arial" w:cs="Arial"/>
          <w:sz w:val="20"/>
          <w:szCs w:val="20"/>
        </w:rPr>
        <w:t>disponibil</w:t>
      </w:r>
      <w:proofErr w:type="spellEnd"/>
      <w:r>
        <w:rPr>
          <w:rFonts w:ascii="Arial" w:hAnsi="Arial" w:cs="Arial"/>
          <w:sz w:val="20"/>
          <w:szCs w:val="20"/>
        </w:rPr>
        <w:t xml:space="preserve"> de la data </w:t>
      </w:r>
      <w:proofErr w:type="spellStart"/>
      <w:r>
        <w:rPr>
          <w:rFonts w:ascii="Arial" w:hAnsi="Arial" w:cs="Arial"/>
          <w:sz w:val="20"/>
          <w:szCs w:val="20"/>
        </w:rPr>
        <w:t>deschiderii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Poziții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gramStart"/>
      <w:r>
        <w:rPr>
          <w:rFonts w:ascii="Arial" w:hAnsi="Arial" w:cs="Arial"/>
          <w:sz w:val="20"/>
          <w:szCs w:val="20"/>
        </w:rPr>
        <w:t>un Contract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până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finalul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Perioadei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Evidențiază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ordinele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durata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finalul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inițiale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reținute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situația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sintetică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Contului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Garanțiile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Marjele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Limita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Tranzacționare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Apelul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Marja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Evidențiază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depunerile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retragerile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numerar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garanții</w:t>
      </w:r>
      <w:proofErr w:type="spellEnd"/>
    </w:p>
    <w:p w:rsidR="006333B3" w:rsidRDefault="006333B3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Raport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pentru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Contractele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aflate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înainte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perioada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Livrare</w:t>
      </w:r>
      <w:proofErr w:type="spellEnd"/>
    </w:p>
    <w:p w:rsidR="006333B3" w:rsidRDefault="006333B3">
      <w:pPr>
        <w:pStyle w:val="ListParagraph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:rsidR="006333B3" w:rsidRDefault="0000000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Marja </w:t>
      </w:r>
      <w:proofErr w:type="spellStart"/>
      <w:r>
        <w:rPr>
          <w:rFonts w:ascii="Arial" w:hAnsi="Arial" w:cs="Arial"/>
          <w:sz w:val="20"/>
          <w:szCs w:val="20"/>
        </w:rPr>
        <w:t>Inițială</w:t>
      </w:r>
      <w:proofErr w:type="spellEnd"/>
      <w:r>
        <w:rPr>
          <w:rFonts w:ascii="Arial" w:hAnsi="Arial" w:cs="Arial"/>
          <w:sz w:val="20"/>
          <w:szCs w:val="20"/>
        </w:rPr>
        <w:t xml:space="preserve"> pe Contract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Pozițiile</w:t>
      </w:r>
      <w:proofErr w:type="spellEnd"/>
      <w:r>
        <w:rPr>
          <w:rFonts w:ascii="Arial" w:hAnsi="Arial" w:cs="Arial"/>
          <w:sz w:val="20"/>
          <w:szCs w:val="20"/>
        </w:rPr>
        <w:t xml:space="preserve"> brute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nete pe </w:t>
      </w:r>
      <w:proofErr w:type="spellStart"/>
      <w:r>
        <w:rPr>
          <w:rFonts w:ascii="Arial" w:hAnsi="Arial" w:cs="Arial"/>
          <w:sz w:val="20"/>
          <w:szCs w:val="20"/>
        </w:rPr>
        <w:t>fiecare</w:t>
      </w:r>
      <w:proofErr w:type="spellEnd"/>
      <w:r>
        <w:rPr>
          <w:rFonts w:ascii="Arial" w:hAnsi="Arial" w:cs="Arial"/>
          <w:sz w:val="20"/>
          <w:szCs w:val="20"/>
        </w:rPr>
        <w:t xml:space="preserve"> Contract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valorile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Inițiale</w:t>
      </w:r>
      <w:proofErr w:type="spellEnd"/>
      <w:r>
        <w:rPr>
          <w:rFonts w:ascii="Arial" w:hAnsi="Arial" w:cs="Arial"/>
          <w:sz w:val="20"/>
          <w:szCs w:val="20"/>
        </w:rPr>
        <w:t xml:space="preserve"> per </w:t>
      </w:r>
      <w:proofErr w:type="spellStart"/>
      <w:r>
        <w:rPr>
          <w:rFonts w:ascii="Arial" w:hAnsi="Arial" w:cs="Arial"/>
          <w:sz w:val="20"/>
          <w:szCs w:val="20"/>
        </w:rPr>
        <w:t>Poziție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netă</w:t>
      </w:r>
      <w:proofErr w:type="spellEnd"/>
      <w:r>
        <w:rPr>
          <w:rFonts w:ascii="Arial" w:hAnsi="Arial" w:cs="Arial"/>
          <w:sz w:val="20"/>
          <w:szCs w:val="20"/>
        </w:rPr>
        <w:t xml:space="preserve"> /Contract;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totalul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inițiale</w:t>
      </w:r>
      <w:proofErr w:type="spellEnd"/>
      <w:r>
        <w:rPr>
          <w:rFonts w:ascii="Arial" w:hAnsi="Arial" w:cs="Arial"/>
          <w:sz w:val="20"/>
          <w:szCs w:val="20"/>
        </w:rPr>
        <w:t xml:space="preserve">: Marja </w:t>
      </w:r>
      <w:proofErr w:type="spellStart"/>
      <w:r>
        <w:rPr>
          <w:rFonts w:ascii="Arial" w:hAnsi="Arial" w:cs="Arial"/>
          <w:sz w:val="20"/>
          <w:szCs w:val="20"/>
        </w:rPr>
        <w:t>Inițială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cumulată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33B3" w:rsidRDefault="006333B3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marcarea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Piață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Marja de </w:t>
      </w:r>
      <w:proofErr w:type="spellStart"/>
      <w:r>
        <w:rPr>
          <w:rFonts w:ascii="Arial" w:hAnsi="Arial" w:cs="Arial"/>
          <w:sz w:val="20"/>
          <w:szCs w:val="20"/>
        </w:rPr>
        <w:t>Variație</w:t>
      </w:r>
      <w:proofErr w:type="spellEnd"/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calculațiile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marcarea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Piață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fiecare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Tranzacție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marcare</w:t>
      </w:r>
      <w:proofErr w:type="spellEnd"/>
      <w:r>
        <w:rPr>
          <w:rFonts w:ascii="Arial" w:hAnsi="Arial" w:cs="Arial"/>
          <w:sz w:val="20"/>
          <w:szCs w:val="20"/>
        </w:rPr>
        <w:t xml:space="preserve"> pe </w:t>
      </w:r>
      <w:proofErr w:type="spellStart"/>
      <w:r>
        <w:rPr>
          <w:rFonts w:ascii="Arial" w:hAnsi="Arial" w:cs="Arial"/>
          <w:sz w:val="20"/>
          <w:szCs w:val="20"/>
        </w:rPr>
        <w:t>baza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brută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compararea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prețului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Tranzacției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Prețul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Decontare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Prețul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Decontare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calculația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Marja de </w:t>
      </w:r>
      <w:proofErr w:type="spellStart"/>
      <w:r>
        <w:rPr>
          <w:rFonts w:ascii="Arial" w:hAnsi="Arial" w:cs="Arial"/>
          <w:sz w:val="20"/>
          <w:szCs w:val="20"/>
        </w:rPr>
        <w:t>Variație</w:t>
      </w:r>
      <w:proofErr w:type="spellEnd"/>
      <w:r>
        <w:rPr>
          <w:rFonts w:ascii="Arial" w:hAnsi="Arial" w:cs="Arial"/>
          <w:sz w:val="20"/>
          <w:szCs w:val="20"/>
        </w:rPr>
        <w:t xml:space="preserve">/Contract </w:t>
      </w:r>
      <w:proofErr w:type="spellStart"/>
      <w:r>
        <w:rPr>
          <w:rFonts w:ascii="Arial" w:hAnsi="Arial" w:cs="Arial"/>
          <w:sz w:val="20"/>
          <w:szCs w:val="20"/>
        </w:rPr>
        <w:t>inclusiv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evidențierea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Variație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pozitivă</w:t>
      </w:r>
      <w:proofErr w:type="spellEnd"/>
      <w:r>
        <w:rPr>
          <w:rFonts w:ascii="Arial" w:hAnsi="Arial" w:cs="Arial"/>
          <w:sz w:val="20"/>
          <w:szCs w:val="20"/>
        </w:rPr>
        <w:t xml:space="preserve"> pe Contract </w:t>
      </w:r>
      <w:proofErr w:type="spellStart"/>
      <w:r>
        <w:rPr>
          <w:rFonts w:ascii="Arial" w:hAnsi="Arial" w:cs="Arial"/>
          <w:sz w:val="20"/>
          <w:szCs w:val="20"/>
        </w:rPr>
        <w:t>ce</w:t>
      </w:r>
      <w:proofErr w:type="spellEnd"/>
      <w:r>
        <w:rPr>
          <w:rFonts w:ascii="Arial" w:hAnsi="Arial" w:cs="Arial"/>
          <w:sz w:val="20"/>
          <w:szCs w:val="20"/>
        </w:rPr>
        <w:t xml:space="preserve"> nu se </w:t>
      </w:r>
      <w:proofErr w:type="spellStart"/>
      <w:r>
        <w:rPr>
          <w:rFonts w:ascii="Arial" w:hAnsi="Arial" w:cs="Arial"/>
          <w:sz w:val="20"/>
          <w:szCs w:val="20"/>
        </w:rPr>
        <w:t>încadrează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compensare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calculația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totalul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Marjelor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Variație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respectiv</w:t>
      </w:r>
      <w:proofErr w:type="spellEnd"/>
      <w:r>
        <w:rPr>
          <w:rFonts w:ascii="Arial" w:hAnsi="Arial" w:cs="Arial"/>
          <w:sz w:val="20"/>
          <w:szCs w:val="20"/>
        </w:rPr>
        <w:t xml:space="preserve"> Marja de </w:t>
      </w:r>
      <w:proofErr w:type="spellStart"/>
      <w:r>
        <w:rPr>
          <w:rFonts w:ascii="Arial" w:hAnsi="Arial" w:cs="Arial"/>
          <w:sz w:val="20"/>
          <w:szCs w:val="20"/>
        </w:rPr>
        <w:t>Variație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Cumulată</w:t>
      </w:r>
      <w:proofErr w:type="spellEnd"/>
      <w:r>
        <w:rPr>
          <w:rFonts w:ascii="Arial" w:hAnsi="Arial" w:cs="Arial"/>
          <w:sz w:val="20"/>
          <w:szCs w:val="20"/>
        </w:rPr>
        <w:t xml:space="preserve"> pe Cont.</w:t>
      </w:r>
    </w:p>
    <w:p w:rsidR="006333B3" w:rsidRDefault="006333B3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2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Raport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privind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Contractele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aflate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în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Perioada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Livrare</w:t>
      </w:r>
      <w:proofErr w:type="spellEnd"/>
    </w:p>
    <w:p w:rsidR="006333B3" w:rsidRDefault="00000000">
      <w:pPr>
        <w:ind w:left="72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</w:t>
      </w:r>
      <w:proofErr w:type="spellStart"/>
      <w:r>
        <w:rPr>
          <w:rFonts w:ascii="Arial" w:hAnsi="Arial" w:cs="Arial"/>
          <w:sz w:val="20"/>
          <w:szCs w:val="20"/>
        </w:rPr>
        <w:t>disponibil</w:t>
      </w:r>
      <w:proofErr w:type="spellEnd"/>
      <w:r>
        <w:rPr>
          <w:rFonts w:ascii="Arial" w:hAnsi="Arial" w:cs="Arial"/>
          <w:sz w:val="20"/>
          <w:szCs w:val="20"/>
        </w:rPr>
        <w:t xml:space="preserve"> de la data </w:t>
      </w:r>
      <w:proofErr w:type="spellStart"/>
      <w:r>
        <w:rPr>
          <w:rFonts w:ascii="Arial" w:hAnsi="Arial" w:cs="Arial"/>
          <w:sz w:val="20"/>
          <w:szCs w:val="20"/>
        </w:rPr>
        <w:t>intrării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Perioada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unui</w:t>
      </w:r>
      <w:proofErr w:type="spellEnd"/>
      <w:r>
        <w:rPr>
          <w:rFonts w:ascii="Arial" w:hAnsi="Arial" w:cs="Arial"/>
          <w:sz w:val="20"/>
          <w:szCs w:val="20"/>
        </w:rPr>
        <w:t xml:space="preserve"> Contract </w:t>
      </w:r>
      <w:proofErr w:type="spellStart"/>
      <w:r>
        <w:rPr>
          <w:rFonts w:ascii="Arial" w:hAnsi="Arial" w:cs="Arial"/>
          <w:sz w:val="20"/>
          <w:szCs w:val="20"/>
        </w:rPr>
        <w:t>până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finalizarea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Perioadei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acestuia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33B3" w:rsidRDefault="00000000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Raport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privind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situația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garanțiilor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reținute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și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eliberate</w:t>
      </w:r>
      <w:proofErr w:type="spellEnd"/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marjele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reținute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Perioda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Cuprinde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calculatii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privind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eliberarea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garanțiilor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Perioada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33B3" w:rsidRDefault="006333B3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numPr>
          <w:ilvl w:val="3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Raport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privind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plățile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și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încasările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aferente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livrării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pentru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un MC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conform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Tranzacțiilor</w:t>
      </w:r>
      <w:proofErr w:type="spellEnd"/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Evidențiază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situația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plăților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datorate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Activul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Suport</w:t>
      </w:r>
      <w:proofErr w:type="spellEnd"/>
      <w:r>
        <w:rPr>
          <w:rFonts w:ascii="Arial" w:hAnsi="Arial" w:cs="Arial"/>
          <w:sz w:val="20"/>
          <w:szCs w:val="20"/>
        </w:rPr>
        <w:t xml:space="preserve"> operate cu o Zi </w:t>
      </w:r>
      <w:proofErr w:type="spellStart"/>
      <w:r>
        <w:rPr>
          <w:rFonts w:ascii="Arial" w:hAnsi="Arial" w:cs="Arial"/>
          <w:sz w:val="20"/>
          <w:szCs w:val="20"/>
        </w:rPr>
        <w:t>înainte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fiecare</w:t>
      </w:r>
      <w:proofErr w:type="spellEnd"/>
      <w:r>
        <w:rPr>
          <w:rFonts w:ascii="Arial" w:hAnsi="Arial" w:cs="Arial"/>
          <w:sz w:val="20"/>
          <w:szCs w:val="20"/>
        </w:rPr>
        <w:t xml:space="preserve"> zi a </w:t>
      </w:r>
      <w:proofErr w:type="spellStart"/>
      <w:r>
        <w:rPr>
          <w:rFonts w:ascii="Arial" w:hAnsi="Arial" w:cs="Arial"/>
          <w:sz w:val="20"/>
          <w:szCs w:val="20"/>
        </w:rPr>
        <w:t>Perioadei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Evidențiază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situația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încasărilor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fiecare</w:t>
      </w:r>
      <w:proofErr w:type="spellEnd"/>
      <w:r>
        <w:rPr>
          <w:rFonts w:ascii="Arial" w:hAnsi="Arial" w:cs="Arial"/>
          <w:sz w:val="20"/>
          <w:szCs w:val="20"/>
        </w:rPr>
        <w:t xml:space="preserve"> zi a </w:t>
      </w:r>
      <w:proofErr w:type="spellStart"/>
      <w:r>
        <w:rPr>
          <w:rFonts w:ascii="Arial" w:hAnsi="Arial" w:cs="Arial"/>
          <w:sz w:val="20"/>
          <w:szCs w:val="20"/>
        </w:rPr>
        <w:t>Perioadei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 xml:space="preserve">, la </w:t>
      </w:r>
      <w:proofErr w:type="spellStart"/>
      <w:r>
        <w:rPr>
          <w:rFonts w:ascii="Arial" w:hAnsi="Arial" w:cs="Arial"/>
          <w:sz w:val="20"/>
          <w:szCs w:val="20"/>
        </w:rPr>
        <w:t>finalul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respectivei</w:t>
      </w:r>
      <w:proofErr w:type="spellEnd"/>
      <w:r>
        <w:rPr>
          <w:rFonts w:ascii="Arial" w:hAnsi="Arial" w:cs="Arial"/>
          <w:sz w:val="20"/>
          <w:szCs w:val="20"/>
        </w:rPr>
        <w:t xml:space="preserve"> Zile</w:t>
      </w:r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Prezintă</w:t>
      </w:r>
      <w:proofErr w:type="spellEnd"/>
      <w:r>
        <w:rPr>
          <w:rFonts w:ascii="Arial" w:hAnsi="Arial" w:cs="Arial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sz w:val="20"/>
          <w:szCs w:val="20"/>
        </w:rPr>
        <w:t>sumar</w:t>
      </w:r>
      <w:proofErr w:type="spellEnd"/>
      <w:r>
        <w:rPr>
          <w:rFonts w:ascii="Arial" w:hAnsi="Arial" w:cs="Arial"/>
          <w:sz w:val="20"/>
          <w:szCs w:val="20"/>
        </w:rPr>
        <w:t xml:space="preserve"> al </w:t>
      </w:r>
      <w:proofErr w:type="spellStart"/>
      <w:r>
        <w:rPr>
          <w:rFonts w:ascii="Arial" w:hAnsi="Arial" w:cs="Arial"/>
          <w:sz w:val="20"/>
          <w:szCs w:val="20"/>
        </w:rPr>
        <w:t>plăților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încasărilor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contabilizate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până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Ziua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curs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livrărilor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plăților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rămase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executat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Perioada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</w:p>
    <w:p w:rsidR="006333B3" w:rsidRDefault="0000000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Prezintă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calculație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zilnică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netă</w:t>
      </w:r>
      <w:proofErr w:type="spellEnd"/>
      <w:r>
        <w:rPr>
          <w:rFonts w:ascii="Arial" w:hAnsi="Arial" w:cs="Arial"/>
          <w:sz w:val="20"/>
          <w:szCs w:val="20"/>
        </w:rPr>
        <w:t xml:space="preserve"> (netting </w:t>
      </w:r>
      <w:proofErr w:type="spellStart"/>
      <w:r>
        <w:rPr>
          <w:rFonts w:ascii="Arial" w:hAnsi="Arial" w:cs="Arial"/>
          <w:sz w:val="20"/>
          <w:szCs w:val="20"/>
        </w:rPr>
        <w:t>financiar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compensările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fluxuri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sume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cazul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Pozițiilor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sens</w:t>
      </w:r>
      <w:proofErr w:type="spellEnd"/>
      <w:r>
        <w:rPr>
          <w:rFonts w:ascii="Arial" w:hAnsi="Arial" w:cs="Arial"/>
          <w:sz w:val="20"/>
          <w:szCs w:val="20"/>
        </w:rPr>
        <w:t xml:space="preserve"> opus </w:t>
      </w:r>
      <w:proofErr w:type="spellStart"/>
      <w:r>
        <w:rPr>
          <w:rFonts w:ascii="Arial" w:hAnsi="Arial" w:cs="Arial"/>
          <w:sz w:val="20"/>
          <w:szCs w:val="20"/>
        </w:rPr>
        <w:t>intrate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Perioada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aferente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fiecărei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zile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livrare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raportarea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Tranzacții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prețurile</w:t>
      </w:r>
      <w:proofErr w:type="spellEnd"/>
      <w:r>
        <w:rPr>
          <w:rFonts w:ascii="Arial" w:hAnsi="Arial" w:cs="Arial"/>
          <w:sz w:val="20"/>
          <w:szCs w:val="20"/>
        </w:rPr>
        <w:t xml:space="preserve"> din </w:t>
      </w:r>
      <w:proofErr w:type="spellStart"/>
      <w:r>
        <w:rPr>
          <w:rFonts w:ascii="Arial" w:hAnsi="Arial" w:cs="Arial"/>
          <w:sz w:val="20"/>
          <w:szCs w:val="20"/>
        </w:rPr>
        <w:t>Tranzacțiile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aferente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333B3" w:rsidRDefault="006333B3">
      <w:pPr>
        <w:pStyle w:val="ListParagraph"/>
        <w:ind w:left="1080"/>
        <w:jc w:val="both"/>
        <w:rPr>
          <w:rFonts w:ascii="Arial" w:hAnsi="Arial" w:cs="Arial"/>
          <w:sz w:val="20"/>
          <w:szCs w:val="20"/>
        </w:rPr>
      </w:pPr>
    </w:p>
    <w:p w:rsidR="006333B3" w:rsidRDefault="00000000">
      <w:pPr>
        <w:pStyle w:val="ListParagraph"/>
        <w:ind w:left="1080"/>
        <w:jc w:val="both"/>
      </w:pPr>
      <w:proofErr w:type="spellStart"/>
      <w:r>
        <w:rPr>
          <w:rFonts w:ascii="Arial" w:hAnsi="Arial" w:cs="Arial"/>
          <w:i/>
          <w:iCs/>
          <w:sz w:val="20"/>
          <w:szCs w:val="20"/>
        </w:rPr>
        <w:t>Notă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Rapoartele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tehnice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detaliate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sunt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furnizate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sistemul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IT al BRM!</w:t>
      </w:r>
    </w:p>
    <w:sectPr w:rsidR="006333B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1624" w:rsidRDefault="00C51624">
      <w:pPr>
        <w:spacing w:after="0" w:line="240" w:lineRule="auto"/>
      </w:pPr>
      <w:r>
        <w:separator/>
      </w:r>
    </w:p>
  </w:endnote>
  <w:endnote w:type="continuationSeparator" w:id="0">
    <w:p w:rsidR="00C51624" w:rsidRDefault="00C5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1624" w:rsidRDefault="00C516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1624" w:rsidRDefault="00C51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85B74"/>
    <w:multiLevelType w:val="multilevel"/>
    <w:tmpl w:val="73AE605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3B50A56"/>
    <w:multiLevelType w:val="multilevel"/>
    <w:tmpl w:val="884078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347B"/>
    <w:multiLevelType w:val="multilevel"/>
    <w:tmpl w:val="0B286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42A44F3E"/>
    <w:multiLevelType w:val="multilevel"/>
    <w:tmpl w:val="65C4739A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87A60"/>
    <w:multiLevelType w:val="multilevel"/>
    <w:tmpl w:val="0C6290F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61931757">
    <w:abstractNumId w:val="2"/>
  </w:num>
  <w:num w:numId="2" w16cid:durableId="635598701">
    <w:abstractNumId w:val="3"/>
  </w:num>
  <w:num w:numId="3" w16cid:durableId="1134368976">
    <w:abstractNumId w:val="4"/>
  </w:num>
  <w:num w:numId="4" w16cid:durableId="1042249755">
    <w:abstractNumId w:val="0"/>
  </w:num>
  <w:num w:numId="5" w16cid:durableId="134500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33B3"/>
    <w:rsid w:val="00322333"/>
    <w:rsid w:val="006333B3"/>
    <w:rsid w:val="00B2615F"/>
    <w:rsid w:val="00C51624"/>
    <w:rsid w:val="00F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BEBDB-E770-4974-96BB-8085E0B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Ursan</dc:creator>
  <dc:description/>
  <cp:lastModifiedBy>Alexandra Ursan</cp:lastModifiedBy>
  <cp:revision>2</cp:revision>
  <dcterms:created xsi:type="dcterms:W3CDTF">2024-10-30T12:00:00Z</dcterms:created>
  <dcterms:modified xsi:type="dcterms:W3CDTF">2024-10-30T12:00:00Z</dcterms:modified>
</cp:coreProperties>
</file>