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B96F" w14:textId="77777777" w:rsidR="00497371" w:rsidRPr="00A07BAC" w:rsidRDefault="00AE1EA8" w:rsidP="00A07BAC">
      <w:pPr>
        <w:pStyle w:val="Title"/>
        <w:spacing w:before="16"/>
        <w:rPr>
          <w:rFonts w:ascii="Arial" w:hAnsi="Arial" w:cs="Arial"/>
          <w:b w:val="0"/>
          <w:bCs w:val="0"/>
          <w:spacing w:val="-6"/>
          <w:sz w:val="32"/>
          <w:szCs w:val="32"/>
        </w:rPr>
      </w:pP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Instrucțiunea 3</w:t>
      </w:r>
    </w:p>
    <w:p w14:paraId="7A17DB0C" w14:textId="77777777" w:rsidR="00497371" w:rsidRPr="00A07BAC" w:rsidRDefault="00AE1EA8" w:rsidP="004F46FC">
      <w:pPr>
        <w:pStyle w:val="Title"/>
        <w:spacing w:before="16"/>
        <w:rPr>
          <w:rFonts w:ascii="Arial" w:hAnsi="Arial" w:cs="Arial"/>
          <w:b w:val="0"/>
          <w:bCs w:val="0"/>
          <w:spacing w:val="-6"/>
          <w:sz w:val="32"/>
          <w:szCs w:val="32"/>
        </w:rPr>
      </w:pP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privind</w:t>
      </w:r>
      <w:r w:rsidRPr="00A07BAC">
        <w:rPr>
          <w:rFonts w:ascii="Arial" w:hAnsi="Arial" w:cs="Arial"/>
          <w:b w:val="0"/>
          <w:bCs w:val="0"/>
          <w:spacing w:val="-7"/>
          <w:sz w:val="32"/>
          <w:szCs w:val="32"/>
        </w:rPr>
        <w:t xml:space="preserve"> </w:t>
      </w: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stabilirea</w:t>
      </w:r>
      <w:r w:rsidRPr="00A07BAC">
        <w:rPr>
          <w:rFonts w:ascii="Arial" w:hAnsi="Arial" w:cs="Arial"/>
          <w:b w:val="0"/>
          <w:bCs w:val="0"/>
          <w:spacing w:val="5"/>
          <w:sz w:val="32"/>
          <w:szCs w:val="32"/>
        </w:rPr>
        <w:t xml:space="preserve"> </w:t>
      </w: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taxelor</w:t>
      </w:r>
      <w:r w:rsidRPr="00A07BAC">
        <w:rPr>
          <w:rFonts w:ascii="Arial" w:hAnsi="Arial" w:cs="Arial"/>
          <w:b w:val="0"/>
          <w:bCs w:val="0"/>
          <w:spacing w:val="1"/>
          <w:sz w:val="32"/>
          <w:szCs w:val="32"/>
        </w:rPr>
        <w:t xml:space="preserve"> </w:t>
      </w: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și</w:t>
      </w:r>
      <w:r w:rsidRPr="00A07BAC">
        <w:rPr>
          <w:rFonts w:ascii="Arial" w:hAnsi="Arial" w:cs="Arial"/>
          <w:b w:val="0"/>
          <w:bCs w:val="0"/>
          <w:spacing w:val="-1"/>
          <w:sz w:val="32"/>
          <w:szCs w:val="32"/>
        </w:rPr>
        <w:t xml:space="preserve"> </w:t>
      </w: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comisioanelor</w:t>
      </w:r>
      <w:r w:rsidRPr="00A07BAC">
        <w:rPr>
          <w:rFonts w:ascii="Arial" w:hAnsi="Arial" w:cs="Arial"/>
          <w:b w:val="0"/>
          <w:bCs w:val="0"/>
          <w:spacing w:val="-2"/>
          <w:sz w:val="32"/>
          <w:szCs w:val="32"/>
        </w:rPr>
        <w:t xml:space="preserve"> </w:t>
      </w: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aferente</w:t>
      </w:r>
      <w:r w:rsidRPr="00A07BAC">
        <w:rPr>
          <w:rFonts w:ascii="Arial" w:hAnsi="Arial" w:cs="Arial"/>
          <w:b w:val="0"/>
          <w:bCs w:val="0"/>
          <w:spacing w:val="-1"/>
          <w:sz w:val="32"/>
          <w:szCs w:val="32"/>
        </w:rPr>
        <w:t xml:space="preserve"> </w:t>
      </w:r>
      <w:r w:rsidRPr="00A07BAC">
        <w:rPr>
          <w:rFonts w:ascii="Arial" w:hAnsi="Arial" w:cs="Arial"/>
          <w:b w:val="0"/>
          <w:bCs w:val="0"/>
          <w:spacing w:val="-6"/>
          <w:sz w:val="32"/>
          <w:szCs w:val="32"/>
        </w:rPr>
        <w:t>serviciilor</w:t>
      </w:r>
    </w:p>
    <w:p w14:paraId="7C81AB72" w14:textId="456D6562" w:rsidR="004F46FC" w:rsidRDefault="004F46FC" w:rsidP="00A07BAC">
      <w:pPr>
        <w:spacing w:before="182"/>
        <w:ind w:left="1134" w:right="1589"/>
        <w:jc w:val="center"/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</w:pPr>
      <w:r w:rsidRPr="00A07BAC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>anexa la Regulamentul de compensare, decontare și gestionare a riscului al Bursei Române de Mărfuri</w:t>
      </w:r>
      <w:r w:rsidR="00A07BAC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 xml:space="preserve"> </w:t>
      </w:r>
      <w:r w:rsidRPr="00A07BAC"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  <w:t>în calitate de Contraparte pe piețele de energie electrică</w:t>
      </w:r>
    </w:p>
    <w:p w14:paraId="13B10A43" w14:textId="77777777" w:rsidR="00A07BAC" w:rsidRPr="00A07BAC" w:rsidRDefault="00A07BAC" w:rsidP="00A07BAC">
      <w:pPr>
        <w:spacing w:before="182"/>
        <w:ind w:left="1134" w:right="1589"/>
        <w:jc w:val="center"/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</w:pPr>
    </w:p>
    <w:p w14:paraId="003B41CA" w14:textId="77777777" w:rsidR="00497371" w:rsidRPr="00A07BAC" w:rsidRDefault="00497371" w:rsidP="00A07BAC">
      <w:pPr>
        <w:spacing w:before="182"/>
        <w:ind w:left="1134" w:right="1589"/>
        <w:jc w:val="center"/>
        <w:rPr>
          <w:rFonts w:ascii="Arial" w:eastAsia="Arial MT" w:hAnsi="Arial" w:cs="Arial"/>
          <w:b/>
          <w:bCs/>
          <w:i/>
          <w:iCs/>
          <w:color w:val="0070C0"/>
          <w:sz w:val="18"/>
          <w:szCs w:val="18"/>
        </w:rPr>
      </w:pPr>
    </w:p>
    <w:p w14:paraId="7C57A18B" w14:textId="77777777" w:rsidR="00497371" w:rsidRPr="00A07BAC" w:rsidRDefault="00AE1EA8" w:rsidP="00A07BAC">
      <w:pPr>
        <w:pStyle w:val="Heading1"/>
        <w:numPr>
          <w:ilvl w:val="0"/>
          <w:numId w:val="1"/>
        </w:numPr>
        <w:tabs>
          <w:tab w:val="left" w:pos="479"/>
        </w:tabs>
        <w:ind w:left="479" w:hanging="361"/>
        <w:jc w:val="both"/>
        <w:rPr>
          <w:rFonts w:ascii="Arial" w:hAnsi="Arial" w:cs="Arial"/>
          <w:sz w:val="20"/>
          <w:szCs w:val="20"/>
          <w:u w:val="none"/>
        </w:rPr>
      </w:pPr>
      <w:r w:rsidRPr="00A07BAC">
        <w:rPr>
          <w:rFonts w:ascii="Arial" w:hAnsi="Arial" w:cs="Arial"/>
          <w:sz w:val="20"/>
          <w:szCs w:val="20"/>
          <w:u w:val="none"/>
        </w:rPr>
        <w:t>Comision de administrare (compensare-decontare)</w:t>
      </w:r>
    </w:p>
    <w:p w14:paraId="48DD566C" w14:textId="77777777" w:rsidR="00497371" w:rsidRPr="00A07BAC" w:rsidRDefault="00497371" w:rsidP="004F46FC">
      <w:pPr>
        <w:pStyle w:val="BodyText"/>
        <w:spacing w:before="55"/>
        <w:jc w:val="both"/>
        <w:rPr>
          <w:rFonts w:ascii="Arial" w:hAnsi="Arial" w:cs="Arial"/>
          <w:b/>
          <w:sz w:val="20"/>
          <w:szCs w:val="20"/>
        </w:rPr>
      </w:pPr>
    </w:p>
    <w:p w14:paraId="09F3CFB4" w14:textId="196237C6" w:rsidR="00497371" w:rsidRDefault="00AE1EA8" w:rsidP="00A07BAC">
      <w:pPr>
        <w:spacing w:line="360" w:lineRule="auto"/>
        <w:ind w:left="100"/>
        <w:jc w:val="both"/>
        <w:rPr>
          <w:rFonts w:ascii="Arial" w:hAnsi="Arial" w:cs="Arial"/>
          <w:b/>
          <w:sz w:val="20"/>
          <w:szCs w:val="20"/>
        </w:rPr>
      </w:pPr>
      <w:r w:rsidRPr="00A07BAC">
        <w:rPr>
          <w:rFonts w:ascii="Arial" w:hAnsi="Arial" w:cs="Arial"/>
          <w:b/>
          <w:sz w:val="20"/>
          <w:szCs w:val="20"/>
          <w:u w:val="single"/>
        </w:rPr>
        <w:t>Comisionul</w:t>
      </w:r>
      <w:r w:rsidRPr="00A07BAC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z w:val="20"/>
          <w:szCs w:val="20"/>
          <w:u w:val="single"/>
        </w:rPr>
        <w:t>de</w:t>
      </w:r>
      <w:r w:rsidRPr="00A07BAC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z w:val="20"/>
          <w:szCs w:val="20"/>
          <w:u w:val="single"/>
        </w:rPr>
        <w:t>administrare</w:t>
      </w:r>
      <w:r w:rsidRPr="00A07BAC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z w:val="20"/>
          <w:szCs w:val="20"/>
          <w:u w:val="single"/>
        </w:rPr>
        <w:t>(compensare-decontare)</w:t>
      </w:r>
      <w:r w:rsidRPr="00A07BAC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z w:val="20"/>
          <w:szCs w:val="20"/>
          <w:u w:val="single"/>
        </w:rPr>
        <w:t>este</w:t>
      </w:r>
      <w:r w:rsidRPr="00A07BAC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z w:val="20"/>
          <w:szCs w:val="20"/>
          <w:u w:val="single"/>
        </w:rPr>
        <w:t>de</w:t>
      </w:r>
      <w:r w:rsidRPr="00A07BAC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z w:val="20"/>
          <w:szCs w:val="20"/>
          <w:u w:val="single"/>
        </w:rPr>
        <w:t>0,055</w:t>
      </w:r>
      <w:r w:rsidRPr="00A07BAC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A07BAC">
        <w:rPr>
          <w:rFonts w:ascii="Arial" w:hAnsi="Arial" w:cs="Arial"/>
          <w:b/>
          <w:spacing w:val="-2"/>
          <w:sz w:val="20"/>
          <w:szCs w:val="20"/>
          <w:u w:val="single"/>
        </w:rPr>
        <w:t>lei/MWh</w:t>
      </w:r>
    </w:p>
    <w:p w14:paraId="7B69786D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Comisionul se percepe pentru strict pentru administrarea în regim de CCP, respectiv:</w:t>
      </w:r>
    </w:p>
    <w:p w14:paraId="183DE93B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- pentru orice tranzacție transferată în CCP (inclusiv pentru tranzacțiile încheiate bilateral și transferate în CCP)</w:t>
      </w:r>
    </w:p>
    <w:p w14:paraId="1A294B30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 xml:space="preserve">- pentru toate tranzacțiile încheiate pe piețele Forward în regim de Contraparte centrală. </w:t>
      </w:r>
    </w:p>
    <w:p w14:paraId="3D36203E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 xml:space="preserve">Comisionul de tranzacționare pentru piețele forward se percepe distinct față de comisionul de administrare (compensare-decontare) conform Procedurii de tranzacționare emisă în baza Regulamentului de organizare și funcționare a pieței organizate de energie electrică, administrată de Societatea Bursa Română de Mărfuri S.A. </w:t>
      </w:r>
    </w:p>
    <w:p w14:paraId="607FC004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Comisionul se aplică pentru fiecare parte a Tranzacției, cumpărător și vânzător.</w:t>
      </w:r>
    </w:p>
    <w:p w14:paraId="1FF63CF6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 xml:space="preserve">Comisionul se percepe o singură dată la dată încheierii Tranzacției și va fi facturat lunar cumulat pentru toate tranzacțiile încheiate în luna respectivă. </w:t>
      </w:r>
    </w:p>
    <w:p w14:paraId="448D653C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Comisionul nu se modifică retroactiv pentru o Tranzacție încheiată.</w:t>
      </w:r>
    </w:p>
    <w:p w14:paraId="28E1C6CA" w14:textId="7F718DA7" w:rsid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Orice modificare va fi aplicabilă doar ulterior în cazul modificării prezenței Instrucțiuni și va fi publicată pe site-ul BRM și notificată MC cu cel puțin 30 zile calendaristice anterior intrării în vigoare.</w:t>
      </w:r>
    </w:p>
    <w:p w14:paraId="73D8A2A9" w14:textId="77777777" w:rsid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4E3E29B" w14:textId="77777777" w:rsidR="00A07BAC" w:rsidRPr="00A07BAC" w:rsidRDefault="00A07BAC" w:rsidP="00A07BAC">
      <w:pPr>
        <w:pStyle w:val="BodyText"/>
        <w:spacing w:before="77"/>
        <w:jc w:val="both"/>
        <w:rPr>
          <w:rFonts w:ascii="Arial" w:hAnsi="Arial" w:cs="Arial"/>
          <w:bCs/>
          <w:sz w:val="20"/>
          <w:szCs w:val="20"/>
        </w:rPr>
      </w:pPr>
    </w:p>
    <w:p w14:paraId="3B877B7D" w14:textId="77777777" w:rsidR="00497371" w:rsidRPr="00A07BAC" w:rsidRDefault="00AE1EA8" w:rsidP="00A07BAC">
      <w:pPr>
        <w:pStyle w:val="Heading1"/>
        <w:numPr>
          <w:ilvl w:val="0"/>
          <w:numId w:val="1"/>
        </w:numPr>
        <w:tabs>
          <w:tab w:val="left" w:pos="479"/>
        </w:tabs>
        <w:ind w:left="479" w:hanging="361"/>
        <w:jc w:val="both"/>
        <w:rPr>
          <w:rFonts w:ascii="Arial" w:hAnsi="Arial" w:cs="Arial"/>
          <w:sz w:val="20"/>
          <w:szCs w:val="20"/>
          <w:u w:val="none"/>
        </w:rPr>
      </w:pPr>
      <w:r w:rsidRPr="00A07BAC">
        <w:rPr>
          <w:rFonts w:ascii="Arial" w:hAnsi="Arial" w:cs="Arial"/>
          <w:sz w:val="20"/>
          <w:szCs w:val="20"/>
          <w:u w:val="none"/>
        </w:rPr>
        <w:t>Taxa</w:t>
      </w:r>
      <w:r w:rsidRPr="00A07BAC">
        <w:rPr>
          <w:rFonts w:ascii="Arial" w:hAnsi="Arial" w:cs="Arial"/>
          <w:spacing w:val="-1"/>
          <w:sz w:val="20"/>
          <w:szCs w:val="20"/>
          <w:u w:val="none"/>
        </w:rPr>
        <w:t xml:space="preserve"> </w:t>
      </w:r>
      <w:r w:rsidRPr="00A07BAC">
        <w:rPr>
          <w:rFonts w:ascii="Arial" w:hAnsi="Arial" w:cs="Arial"/>
          <w:sz w:val="20"/>
          <w:szCs w:val="20"/>
          <w:u w:val="none"/>
        </w:rPr>
        <w:t>de</w:t>
      </w:r>
      <w:r w:rsidRPr="00A07BAC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A07BAC">
        <w:rPr>
          <w:rFonts w:ascii="Arial" w:hAnsi="Arial" w:cs="Arial"/>
          <w:sz w:val="20"/>
          <w:szCs w:val="20"/>
          <w:u w:val="none"/>
        </w:rPr>
        <w:t>Membru</w:t>
      </w:r>
      <w:r w:rsidRPr="00A07BAC">
        <w:rPr>
          <w:rFonts w:ascii="Arial" w:hAnsi="Arial" w:cs="Arial"/>
          <w:spacing w:val="-1"/>
          <w:sz w:val="20"/>
          <w:szCs w:val="20"/>
          <w:u w:val="none"/>
        </w:rPr>
        <w:t xml:space="preserve"> </w:t>
      </w:r>
      <w:r w:rsidRPr="00A07BAC">
        <w:rPr>
          <w:rFonts w:ascii="Arial" w:hAnsi="Arial" w:cs="Arial"/>
          <w:spacing w:val="-2"/>
          <w:sz w:val="20"/>
          <w:szCs w:val="20"/>
          <w:u w:val="none"/>
        </w:rPr>
        <w:t>Compensator</w:t>
      </w:r>
    </w:p>
    <w:p w14:paraId="0BCDAA54" w14:textId="77777777" w:rsidR="00A07BAC" w:rsidRPr="00A07BAC" w:rsidRDefault="00A07BAC" w:rsidP="00A07BAC">
      <w:pPr>
        <w:pStyle w:val="BodyText"/>
        <w:spacing w:before="77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Taxa va fi stabilită anual de Consiliul de Administrație al BRM și va fi publicată pe site-ul BRM. Pentru anul 2024 și 2025 taxa de Membru Compensator va fi 0.</w:t>
      </w:r>
    </w:p>
    <w:p w14:paraId="6C0C12E2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 xml:space="preserve">Taxa se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va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percepe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pentru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fiecare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Membru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Compensator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în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mod individual.</w:t>
      </w:r>
    </w:p>
    <w:p w14:paraId="263D550D" w14:textId="58E51C83" w:rsid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07BAC">
        <w:rPr>
          <w:rFonts w:ascii="Arial" w:hAnsi="Arial" w:cs="Arial"/>
          <w:bCs/>
          <w:sz w:val="20"/>
          <w:szCs w:val="20"/>
        </w:rPr>
        <w:t>Sumele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colectate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> din 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taxele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membru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 xml:space="preserve"> compensator se </w:t>
      </w:r>
      <w:proofErr w:type="spellStart"/>
      <w:r w:rsidRPr="00A07BAC">
        <w:rPr>
          <w:rFonts w:ascii="Arial" w:hAnsi="Arial" w:cs="Arial"/>
          <w:bCs/>
          <w:sz w:val="20"/>
          <w:szCs w:val="20"/>
        </w:rPr>
        <w:t>vor</w:t>
      </w:r>
      <w:proofErr w:type="spellEnd"/>
      <w:r w:rsidRPr="00A07BAC">
        <w:rPr>
          <w:rFonts w:ascii="Arial" w:hAnsi="Arial" w:cs="Arial"/>
          <w:bCs/>
          <w:sz w:val="20"/>
          <w:szCs w:val="20"/>
        </w:rPr>
        <w:t> integra în Fondul de Garantare</w:t>
      </w:r>
      <w:r>
        <w:rPr>
          <w:rFonts w:ascii="Arial" w:hAnsi="Arial" w:cs="Arial"/>
          <w:bCs/>
          <w:sz w:val="20"/>
          <w:szCs w:val="20"/>
        </w:rPr>
        <w:t>.</w:t>
      </w:r>
    </w:p>
    <w:p w14:paraId="1FE2DFCE" w14:textId="77777777" w:rsidR="00A07BAC" w:rsidRPr="00A07BAC" w:rsidRDefault="00A07BA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D981366" w14:textId="655BBF7A" w:rsidR="00497371" w:rsidRPr="00A07BAC" w:rsidRDefault="00497371" w:rsidP="004F46FC">
      <w:pPr>
        <w:pStyle w:val="BodyText"/>
        <w:ind w:left="206"/>
        <w:jc w:val="both"/>
        <w:rPr>
          <w:rFonts w:ascii="Arial" w:hAnsi="Arial" w:cs="Arial"/>
          <w:sz w:val="20"/>
          <w:szCs w:val="20"/>
        </w:rPr>
      </w:pPr>
    </w:p>
    <w:p w14:paraId="70F75591" w14:textId="66E5702B" w:rsidR="00497371" w:rsidRPr="00A07BAC" w:rsidRDefault="00AE1EA8" w:rsidP="00A07BAC">
      <w:pPr>
        <w:pStyle w:val="Heading1"/>
        <w:numPr>
          <w:ilvl w:val="0"/>
          <w:numId w:val="1"/>
        </w:numPr>
        <w:tabs>
          <w:tab w:val="left" w:pos="479"/>
        </w:tabs>
        <w:spacing w:before="55" w:line="360" w:lineRule="auto"/>
        <w:ind w:left="479" w:hanging="361"/>
        <w:jc w:val="both"/>
        <w:rPr>
          <w:rFonts w:ascii="Arial" w:hAnsi="Arial" w:cs="Arial"/>
          <w:sz w:val="20"/>
          <w:szCs w:val="20"/>
        </w:rPr>
      </w:pPr>
      <w:r w:rsidRPr="00A07BAC">
        <w:rPr>
          <w:rFonts w:ascii="Arial" w:hAnsi="Arial" w:cs="Arial"/>
          <w:sz w:val="20"/>
          <w:szCs w:val="20"/>
          <w:u w:val="none"/>
        </w:rPr>
        <w:t>Taxa</w:t>
      </w:r>
      <w:r w:rsidRPr="00A07BAC">
        <w:rPr>
          <w:rFonts w:ascii="Arial" w:hAnsi="Arial" w:cs="Arial"/>
          <w:spacing w:val="-1"/>
          <w:sz w:val="20"/>
          <w:szCs w:val="20"/>
          <w:u w:val="none"/>
        </w:rPr>
        <w:t xml:space="preserve"> </w:t>
      </w:r>
      <w:r w:rsidRPr="00A07BAC">
        <w:rPr>
          <w:rFonts w:ascii="Arial" w:hAnsi="Arial" w:cs="Arial"/>
          <w:sz w:val="20"/>
          <w:szCs w:val="20"/>
          <w:u w:val="none"/>
        </w:rPr>
        <w:t>pe</w:t>
      </w:r>
      <w:r w:rsidRPr="00A07BAC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A07BAC">
        <w:rPr>
          <w:rFonts w:ascii="Arial" w:hAnsi="Arial" w:cs="Arial"/>
          <w:sz w:val="20"/>
          <w:szCs w:val="20"/>
          <w:u w:val="none"/>
        </w:rPr>
        <w:t xml:space="preserve">valoarea </w:t>
      </w:r>
      <w:r w:rsidRPr="00A07BAC">
        <w:rPr>
          <w:rFonts w:ascii="Arial" w:hAnsi="Arial" w:cs="Arial"/>
          <w:spacing w:val="-2"/>
          <w:sz w:val="20"/>
          <w:szCs w:val="20"/>
          <w:u w:val="none"/>
        </w:rPr>
        <w:t>adaugată</w:t>
      </w:r>
    </w:p>
    <w:p w14:paraId="5B9A90CA" w14:textId="1087DF33" w:rsidR="00497371" w:rsidRPr="00A07BAC" w:rsidRDefault="00AE1EA8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Toate Taxele și comisioanele percepute de BRM vor fi supuse TVA</w:t>
      </w:r>
      <w:r w:rsidR="00A07BAC" w:rsidRPr="00A07BAC">
        <w:rPr>
          <w:rFonts w:ascii="Arial" w:hAnsi="Arial" w:cs="Arial"/>
          <w:bCs/>
          <w:sz w:val="20"/>
          <w:szCs w:val="20"/>
        </w:rPr>
        <w:t>.</w:t>
      </w:r>
    </w:p>
    <w:p w14:paraId="587AB596" w14:textId="478A7334" w:rsidR="00497371" w:rsidRPr="00A07BAC" w:rsidRDefault="00AE1EA8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7BAC">
        <w:rPr>
          <w:rFonts w:ascii="Arial" w:hAnsi="Arial" w:cs="Arial"/>
          <w:bCs/>
          <w:sz w:val="20"/>
          <w:szCs w:val="20"/>
        </w:rPr>
        <w:t>Valoarea TVA se adaugă la valoarea taxelor și comisioanelor menționate la punctele 1 și 2</w:t>
      </w:r>
      <w:r w:rsidR="00A07BAC" w:rsidRPr="00A07BAC">
        <w:rPr>
          <w:rFonts w:ascii="Arial" w:hAnsi="Arial" w:cs="Arial"/>
          <w:bCs/>
          <w:sz w:val="20"/>
          <w:szCs w:val="20"/>
        </w:rPr>
        <w:t>.</w:t>
      </w:r>
    </w:p>
    <w:p w14:paraId="311132DE" w14:textId="77777777" w:rsidR="004F46FC" w:rsidRPr="00A07BAC" w:rsidRDefault="004F46FC" w:rsidP="00A07BAC">
      <w:pPr>
        <w:pStyle w:val="BodyText"/>
        <w:spacing w:before="77" w:line="276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4F46FC" w:rsidRPr="00A07BAC">
      <w:headerReference w:type="default" r:id="rId8"/>
      <w:footerReference w:type="default" r:id="rId9"/>
      <w:type w:val="continuous"/>
      <w:pgSz w:w="12240" w:h="15840"/>
      <w:pgMar w:top="1660" w:right="1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1331" w14:textId="77777777" w:rsidR="000608E3" w:rsidRDefault="000608E3" w:rsidP="004F46FC">
      <w:r>
        <w:separator/>
      </w:r>
    </w:p>
  </w:endnote>
  <w:endnote w:type="continuationSeparator" w:id="0">
    <w:p w14:paraId="19A2E028" w14:textId="77777777" w:rsidR="000608E3" w:rsidRDefault="000608E3" w:rsidP="004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8573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D2BB8B" w14:textId="0DE306DE" w:rsidR="004F46FC" w:rsidRDefault="004F46FC">
            <w:pPr>
              <w:pStyle w:val="Footer"/>
              <w:jc w:val="right"/>
            </w:pPr>
            <w:r>
              <w:t xml:space="preserve">Pag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E9A2B2" w14:textId="77777777" w:rsidR="004F46FC" w:rsidRDefault="004F4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2223" w14:textId="77777777" w:rsidR="000608E3" w:rsidRDefault="000608E3" w:rsidP="004F46FC">
      <w:r>
        <w:separator/>
      </w:r>
    </w:p>
  </w:footnote>
  <w:footnote w:type="continuationSeparator" w:id="0">
    <w:p w14:paraId="3A9A23CB" w14:textId="77777777" w:rsidR="000608E3" w:rsidRDefault="000608E3" w:rsidP="004F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978F" w14:textId="22C29E82" w:rsidR="004F46FC" w:rsidRDefault="004F46FC" w:rsidP="004F46FC">
    <w:pPr>
      <w:pStyle w:val="BodyText"/>
      <w:spacing w:before="77"/>
      <w:ind w:right="268" w:firstLine="31"/>
      <w:jc w:val="right"/>
    </w:pPr>
    <w:r>
      <w:t>Versiunea</w:t>
    </w:r>
    <w:r>
      <w:rPr>
        <w:spacing w:val="-2"/>
      </w:rPr>
      <w:t xml:space="preserve"> </w:t>
    </w:r>
    <w:r>
      <w:t>2</w:t>
    </w:r>
    <w:r w:rsidR="004633BA">
      <w:t>.0</w:t>
    </w:r>
    <w:r>
      <w:rPr>
        <w:spacing w:val="-4"/>
      </w:rPr>
      <w:t xml:space="preserve"> </w:t>
    </w:r>
    <w:r w:rsidR="004633BA">
      <w:rPr>
        <w:spacing w:val="-4"/>
      </w:rPr>
      <w:t xml:space="preserve">valabila </w:t>
    </w:r>
    <w:r>
      <w:t>din</w:t>
    </w:r>
    <w:r>
      <w:rPr>
        <w:spacing w:val="-1"/>
      </w:rPr>
      <w:t xml:space="preserve"> </w:t>
    </w:r>
    <w:r w:rsidR="006E048F">
      <w:rPr>
        <w:spacing w:val="-1"/>
      </w:rPr>
      <w:t>15</w:t>
    </w:r>
    <w:r>
      <w:rPr>
        <w:spacing w:val="-2"/>
      </w:rPr>
      <w:t>.1</w:t>
    </w:r>
    <w:r w:rsidR="006E048F">
      <w:rPr>
        <w:spacing w:val="-2"/>
      </w:rPr>
      <w:t>1</w:t>
    </w:r>
    <w:r>
      <w:rPr>
        <w:spacing w:val="-2"/>
      </w:rPr>
      <w:t>.2024</w:t>
    </w:r>
  </w:p>
  <w:p w14:paraId="5E4A72E0" w14:textId="77777777" w:rsidR="004F46FC" w:rsidRDefault="004F4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F17C4"/>
    <w:multiLevelType w:val="hybridMultilevel"/>
    <w:tmpl w:val="FA484A78"/>
    <w:lvl w:ilvl="0" w:tplc="5B5A03DE">
      <w:start w:val="1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DD78D6B4">
      <w:numFmt w:val="bullet"/>
      <w:lvlText w:val="•"/>
      <w:lvlJc w:val="left"/>
      <w:pPr>
        <w:ind w:left="1706" w:hanging="240"/>
      </w:pPr>
      <w:rPr>
        <w:rFonts w:hint="default"/>
        <w:lang w:val="ro-RO" w:eastAsia="en-US" w:bidi="ar-SA"/>
      </w:rPr>
    </w:lvl>
    <w:lvl w:ilvl="2" w:tplc="33FCD57A">
      <w:numFmt w:val="bullet"/>
      <w:lvlText w:val="•"/>
      <w:lvlJc w:val="left"/>
      <w:pPr>
        <w:ind w:left="2612" w:hanging="240"/>
      </w:pPr>
      <w:rPr>
        <w:rFonts w:hint="default"/>
        <w:lang w:val="ro-RO" w:eastAsia="en-US" w:bidi="ar-SA"/>
      </w:rPr>
    </w:lvl>
    <w:lvl w:ilvl="3" w:tplc="2FE82F88">
      <w:numFmt w:val="bullet"/>
      <w:lvlText w:val="•"/>
      <w:lvlJc w:val="left"/>
      <w:pPr>
        <w:ind w:left="3518" w:hanging="240"/>
      </w:pPr>
      <w:rPr>
        <w:rFonts w:hint="default"/>
        <w:lang w:val="ro-RO" w:eastAsia="en-US" w:bidi="ar-SA"/>
      </w:rPr>
    </w:lvl>
    <w:lvl w:ilvl="4" w:tplc="E542A856">
      <w:numFmt w:val="bullet"/>
      <w:lvlText w:val="•"/>
      <w:lvlJc w:val="left"/>
      <w:pPr>
        <w:ind w:left="4424" w:hanging="240"/>
      </w:pPr>
      <w:rPr>
        <w:rFonts w:hint="default"/>
        <w:lang w:val="ro-RO" w:eastAsia="en-US" w:bidi="ar-SA"/>
      </w:rPr>
    </w:lvl>
    <w:lvl w:ilvl="5" w:tplc="66C87D94">
      <w:numFmt w:val="bullet"/>
      <w:lvlText w:val="•"/>
      <w:lvlJc w:val="left"/>
      <w:pPr>
        <w:ind w:left="5330" w:hanging="240"/>
      </w:pPr>
      <w:rPr>
        <w:rFonts w:hint="default"/>
        <w:lang w:val="ro-RO" w:eastAsia="en-US" w:bidi="ar-SA"/>
      </w:rPr>
    </w:lvl>
    <w:lvl w:ilvl="6" w:tplc="1A382C40">
      <w:numFmt w:val="bullet"/>
      <w:lvlText w:val="•"/>
      <w:lvlJc w:val="left"/>
      <w:pPr>
        <w:ind w:left="6236" w:hanging="240"/>
      </w:pPr>
      <w:rPr>
        <w:rFonts w:hint="default"/>
        <w:lang w:val="ro-RO" w:eastAsia="en-US" w:bidi="ar-SA"/>
      </w:rPr>
    </w:lvl>
    <w:lvl w:ilvl="7" w:tplc="1B443EE0">
      <w:numFmt w:val="bullet"/>
      <w:lvlText w:val="•"/>
      <w:lvlJc w:val="left"/>
      <w:pPr>
        <w:ind w:left="7142" w:hanging="240"/>
      </w:pPr>
      <w:rPr>
        <w:rFonts w:hint="default"/>
        <w:lang w:val="ro-RO" w:eastAsia="en-US" w:bidi="ar-SA"/>
      </w:rPr>
    </w:lvl>
    <w:lvl w:ilvl="8" w:tplc="682A836C">
      <w:numFmt w:val="bullet"/>
      <w:lvlText w:val="•"/>
      <w:lvlJc w:val="left"/>
      <w:pPr>
        <w:ind w:left="8048" w:hanging="240"/>
      </w:pPr>
      <w:rPr>
        <w:rFonts w:hint="default"/>
        <w:lang w:val="ro-RO" w:eastAsia="en-US" w:bidi="ar-SA"/>
      </w:rPr>
    </w:lvl>
  </w:abstractNum>
  <w:num w:numId="1" w16cid:durableId="206956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71"/>
    <w:rsid w:val="000608E3"/>
    <w:rsid w:val="000B3512"/>
    <w:rsid w:val="00131E4D"/>
    <w:rsid w:val="001F5365"/>
    <w:rsid w:val="00270E04"/>
    <w:rsid w:val="003514CA"/>
    <w:rsid w:val="004633BA"/>
    <w:rsid w:val="00497371"/>
    <w:rsid w:val="004F46FC"/>
    <w:rsid w:val="006E048F"/>
    <w:rsid w:val="00745F46"/>
    <w:rsid w:val="00A07BAC"/>
    <w:rsid w:val="00A11350"/>
    <w:rsid w:val="00A3320D"/>
    <w:rsid w:val="00AD2F51"/>
    <w:rsid w:val="00AE1EA8"/>
    <w:rsid w:val="00C03BE3"/>
    <w:rsid w:val="00C23E8E"/>
    <w:rsid w:val="00D43593"/>
    <w:rsid w:val="00DA5819"/>
    <w:rsid w:val="00DB5C1D"/>
    <w:rsid w:val="00E30CC8"/>
    <w:rsid w:val="00E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A985"/>
  <w15:docId w15:val="{2E9584B7-90F9-495F-8EB1-CD4EA59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05" w:hanging="23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05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F46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6F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F4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6FC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4A24-D009-4E00-9BF1-3000ECD1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Septimiu Rusu</dc:creator>
  <cp:lastModifiedBy>Alexandra Ursan</cp:lastModifiedBy>
  <cp:revision>7</cp:revision>
  <dcterms:created xsi:type="dcterms:W3CDTF">2024-10-24T12:45:00Z</dcterms:created>
  <dcterms:modified xsi:type="dcterms:W3CDTF">2024-10-25T13:37:00Z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