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7F47" w14:textId="77777777" w:rsidR="001508BA" w:rsidRPr="002D4FE9" w:rsidRDefault="005851D8">
      <w:pPr>
        <w:pStyle w:val="Heading1"/>
        <w:spacing w:before="79"/>
        <w:ind w:left="703"/>
        <w:jc w:val="center"/>
        <w:rPr>
          <w:rFonts w:ascii="Times New Roman" w:hAnsi="Times New Roman" w:cs="Times New Roman"/>
          <w:sz w:val="28"/>
          <w:szCs w:val="28"/>
        </w:rPr>
      </w:pPr>
      <w:r w:rsidRPr="002D4FE9">
        <w:rPr>
          <w:rFonts w:ascii="Times New Roman" w:hAnsi="Times New Roman" w:cs="Times New Roman"/>
          <w:w w:val="90"/>
          <w:sz w:val="28"/>
          <w:szCs w:val="28"/>
        </w:rPr>
        <w:t>Instrucțiunea</w:t>
      </w:r>
      <w:r w:rsidRPr="002D4FE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14:paraId="52E09ED5" w14:textId="77777777" w:rsidR="001508BA" w:rsidRPr="002D4FE9" w:rsidRDefault="005851D8">
      <w:pPr>
        <w:pStyle w:val="Title"/>
        <w:rPr>
          <w:rFonts w:ascii="Times New Roman" w:hAnsi="Times New Roman" w:cs="Times New Roman"/>
          <w:spacing w:val="-4"/>
          <w:sz w:val="28"/>
          <w:szCs w:val="28"/>
        </w:rPr>
      </w:pPr>
      <w:r w:rsidRPr="002D4FE9">
        <w:rPr>
          <w:rFonts w:ascii="Times New Roman" w:hAnsi="Times New Roman" w:cs="Times New Roman"/>
          <w:bCs w:val="0"/>
          <w:spacing w:val="-4"/>
          <w:sz w:val="28"/>
          <w:szCs w:val="28"/>
        </w:rPr>
        <w:t>privind</w:t>
      </w:r>
      <w:r w:rsidRPr="002D4FE9">
        <w:rPr>
          <w:rFonts w:ascii="Times New Roman" w:hAnsi="Times New Roman" w:cs="Times New Roman"/>
          <w:bCs w:val="0"/>
          <w:spacing w:val="3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bCs w:val="0"/>
          <w:spacing w:val="-4"/>
          <w:sz w:val="28"/>
          <w:szCs w:val="28"/>
        </w:rPr>
        <w:t>Garanțiile</w:t>
      </w:r>
      <w:r w:rsidRPr="002D4F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spacing w:val="-4"/>
          <w:sz w:val="28"/>
          <w:szCs w:val="28"/>
        </w:rPr>
        <w:t>destinate</w:t>
      </w:r>
      <w:r w:rsidRPr="002D4F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spacing w:val="-4"/>
          <w:sz w:val="28"/>
          <w:szCs w:val="28"/>
        </w:rPr>
        <w:t>acoperiri</w:t>
      </w:r>
      <w:r w:rsidRPr="002D4F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spacing w:val="-4"/>
          <w:sz w:val="28"/>
          <w:szCs w:val="28"/>
        </w:rPr>
        <w:t>riscurilor</w:t>
      </w:r>
      <w:r w:rsidRPr="002D4F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4FE9">
        <w:rPr>
          <w:rFonts w:ascii="Times New Roman" w:hAnsi="Times New Roman" w:cs="Times New Roman"/>
          <w:spacing w:val="-4"/>
          <w:sz w:val="28"/>
          <w:szCs w:val="28"/>
        </w:rPr>
        <w:t>financiare</w:t>
      </w:r>
    </w:p>
    <w:p w14:paraId="5386C4E2" w14:textId="3EAD5490" w:rsidR="00776304" w:rsidRPr="002D4FE9" w:rsidRDefault="00776304" w:rsidP="00702F12">
      <w:pPr>
        <w:pStyle w:val="Title"/>
        <w:ind w:left="0"/>
        <w:rPr>
          <w:rFonts w:ascii="Times New Roman" w:hAnsi="Times New Roman" w:cs="Times New Roman"/>
          <w:sz w:val="28"/>
          <w:szCs w:val="28"/>
        </w:rPr>
      </w:pPr>
      <w:r w:rsidRPr="002D4FE9">
        <w:rPr>
          <w:rFonts w:ascii="Times New Roman" w:hAnsi="Times New Roman" w:cs="Times New Roman"/>
          <w:spacing w:val="-4"/>
          <w:sz w:val="28"/>
          <w:szCs w:val="28"/>
        </w:rPr>
        <w:t xml:space="preserve">Valabila </w:t>
      </w:r>
      <w:proofErr w:type="spellStart"/>
      <w:r w:rsidRPr="002D4FE9">
        <w:rPr>
          <w:rFonts w:ascii="Times New Roman" w:hAnsi="Times New Roman" w:cs="Times New Roman"/>
          <w:spacing w:val="-4"/>
          <w:sz w:val="28"/>
          <w:szCs w:val="28"/>
        </w:rPr>
        <w:t>incepand</w:t>
      </w:r>
      <w:proofErr w:type="spellEnd"/>
      <w:r w:rsidRPr="002D4FE9">
        <w:rPr>
          <w:rFonts w:ascii="Times New Roman" w:hAnsi="Times New Roman" w:cs="Times New Roman"/>
          <w:spacing w:val="-4"/>
          <w:sz w:val="28"/>
          <w:szCs w:val="28"/>
        </w:rPr>
        <w:t xml:space="preserve"> cu .....03.2025</w:t>
      </w:r>
    </w:p>
    <w:p w14:paraId="0E3A3BA1" w14:textId="77777777" w:rsidR="001508BA" w:rsidRPr="002D4FE9" w:rsidRDefault="00150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B0E58B1" w14:textId="77777777" w:rsidR="001508BA" w:rsidRPr="002D4FE9" w:rsidRDefault="001508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06D69E6" w14:textId="77777777" w:rsidR="001508BA" w:rsidRPr="002D4FE9" w:rsidRDefault="001508BA">
      <w:pPr>
        <w:pStyle w:val="BodyText"/>
        <w:spacing w:before="36"/>
        <w:rPr>
          <w:rFonts w:ascii="Times New Roman" w:hAnsi="Times New Roman" w:cs="Times New Roman"/>
          <w:b/>
          <w:sz w:val="24"/>
          <w:szCs w:val="24"/>
        </w:rPr>
      </w:pPr>
    </w:p>
    <w:p w14:paraId="2084701A" w14:textId="77777777" w:rsidR="001508BA" w:rsidRPr="002D4FE9" w:rsidRDefault="005851D8">
      <w:pPr>
        <w:pStyle w:val="Heading2"/>
        <w:rPr>
          <w:rFonts w:ascii="Times New Roman" w:hAnsi="Times New Roman" w:cs="Times New Roman"/>
          <w:sz w:val="24"/>
          <w:szCs w:val="24"/>
        </w:rPr>
      </w:pPr>
      <w:proofErr w:type="spellStart"/>
      <w:r w:rsidRPr="002D4FE9">
        <w:rPr>
          <w:rFonts w:ascii="Times New Roman" w:hAnsi="Times New Roman" w:cs="Times New Roman"/>
          <w:spacing w:val="-2"/>
          <w:sz w:val="24"/>
          <w:szCs w:val="24"/>
        </w:rPr>
        <w:t>Definitii</w:t>
      </w:r>
      <w:proofErr w:type="spellEnd"/>
    </w:p>
    <w:p w14:paraId="13CD5D3B" w14:textId="77777777" w:rsidR="001508BA" w:rsidRPr="002D4FE9" w:rsidRDefault="001508BA">
      <w:pPr>
        <w:pStyle w:val="BodyText"/>
        <w:spacing w:before="20"/>
        <w:rPr>
          <w:rFonts w:ascii="Times New Roman" w:hAnsi="Times New Roman" w:cs="Times New Roman"/>
          <w:b/>
          <w:sz w:val="24"/>
          <w:szCs w:val="24"/>
        </w:rPr>
      </w:pPr>
    </w:p>
    <w:p w14:paraId="487E545C" w14:textId="77777777" w:rsidR="001508BA" w:rsidRPr="002D4FE9" w:rsidRDefault="005851D8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In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prezenta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>,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 w:rsidRPr="002D4F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termeni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vor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fi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interpretati</w:t>
      </w:r>
      <w:proofErr w:type="spellEnd"/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D4F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cum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pacing w:val="-2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177228B" w14:textId="77777777" w:rsidR="001508BA" w:rsidRPr="002D4FE9" w:rsidRDefault="001508BA">
      <w:pPr>
        <w:pStyle w:val="BodyText"/>
        <w:spacing w:before="18"/>
        <w:rPr>
          <w:rFonts w:ascii="Times New Roman" w:hAnsi="Times New Roman" w:cs="Times New Roman"/>
          <w:sz w:val="24"/>
          <w:szCs w:val="24"/>
        </w:rPr>
      </w:pPr>
    </w:p>
    <w:p w14:paraId="4274EF29" w14:textId="625C9BCF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line="29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 xml:space="preserve">Agentul </w:t>
      </w: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– banca comerciala care va deschide la ordinul clientului sau (MC) Contul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favoarea BRM</w:t>
      </w:r>
      <w:r w:rsidRPr="002D4FE9">
        <w:rPr>
          <w:rFonts w:ascii="Times New Roman" w:hAnsi="Times New Roman" w:cs="Times New Roman"/>
          <w:b/>
          <w:sz w:val="24"/>
          <w:szCs w:val="24"/>
        </w:rPr>
        <w:t>.</w:t>
      </w:r>
      <w:r w:rsidR="009C5801" w:rsidRPr="002D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Agentul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va fi Banca de cont central sau o altă bancă agreată de BRM.</w:t>
      </w:r>
    </w:p>
    <w:p w14:paraId="1B07C85F" w14:textId="69CE90DC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198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>Banca de cont central</w:t>
      </w:r>
      <w:r w:rsidRPr="002D4FE9">
        <w:rPr>
          <w:rFonts w:ascii="Times New Roman" w:hAnsi="Times New Roman" w:cs="Times New Roman"/>
          <w:sz w:val="24"/>
          <w:szCs w:val="24"/>
        </w:rPr>
        <w:t xml:space="preserve">– Banca Comerciala Romana S.A., 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actioneaza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colectoare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in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raport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cu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si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care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are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deschis Contul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Central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care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fi creditat sau a fost creditat cu sumele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directa, emise de BRM si debitat cu sumele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ordinele de plata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pentru </w:t>
      </w:r>
      <w:r w:rsidR="00E85D06" w:rsidRPr="002D4FE9">
        <w:rPr>
          <w:rFonts w:ascii="Times New Roman" w:hAnsi="Times New Roman" w:cs="Times New Roman"/>
          <w:sz w:val="24"/>
          <w:szCs w:val="24"/>
        </w:rPr>
        <w:t>P</w:t>
      </w:r>
      <w:r w:rsidR="009C5801" w:rsidRPr="002D4FE9">
        <w:rPr>
          <w:rFonts w:ascii="Times New Roman" w:hAnsi="Times New Roman" w:cs="Times New Roman"/>
          <w:sz w:val="24"/>
          <w:szCs w:val="24"/>
        </w:rPr>
        <w:t>ia</w:t>
      </w:r>
      <w:r w:rsidR="00E85D06" w:rsidRPr="002D4FE9">
        <w:rPr>
          <w:rFonts w:ascii="Times New Roman" w:hAnsi="Times New Roman" w:cs="Times New Roman"/>
          <w:sz w:val="24"/>
          <w:szCs w:val="24"/>
        </w:rPr>
        <w:t>ț</w:t>
      </w:r>
      <w:r w:rsidR="009C5801" w:rsidRPr="002D4FE9">
        <w:rPr>
          <w:rFonts w:ascii="Times New Roman" w:hAnsi="Times New Roman" w:cs="Times New Roman"/>
          <w:sz w:val="24"/>
          <w:szCs w:val="24"/>
        </w:rPr>
        <w:t>a din Romania</w:t>
      </w:r>
      <w:r w:rsidR="00826665" w:rsidRPr="002D4FE9">
        <w:rPr>
          <w:rFonts w:ascii="Times New Roman" w:hAnsi="Times New Roman" w:cs="Times New Roman"/>
          <w:sz w:val="24"/>
          <w:szCs w:val="24"/>
        </w:rPr>
        <w:t xml:space="preserve">, respectiv </w:t>
      </w:r>
      <w:r w:rsidR="00206BAC" w:rsidRPr="002D4FE9">
        <w:rPr>
          <w:rFonts w:ascii="Times New Roman" w:hAnsi="Times New Roman" w:cs="Times New Roman"/>
          <w:sz w:val="24"/>
          <w:szCs w:val="24"/>
        </w:rPr>
        <w:t xml:space="preserve">UniCredit </w:t>
      </w:r>
      <w:proofErr w:type="spellStart"/>
      <w:r w:rsidR="00206BAC" w:rsidRPr="002D4FE9">
        <w:rPr>
          <w:rFonts w:ascii="Times New Roman" w:hAnsi="Times New Roman" w:cs="Times New Roman"/>
          <w:sz w:val="24"/>
          <w:szCs w:val="24"/>
        </w:rPr>
        <w:t>Bulbank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>)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C5801" w:rsidRPr="002D4FE9">
        <w:rPr>
          <w:rFonts w:ascii="Times New Roman" w:hAnsi="Times New Roman" w:cs="Times New Roman"/>
          <w:sz w:val="24"/>
          <w:szCs w:val="24"/>
        </w:rPr>
        <w:t>actioneaza</w:t>
      </w:r>
      <w:proofErr w:type="spellEnd"/>
      <w:r w:rsidR="009C5801" w:rsidRPr="002D4FE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C5801" w:rsidRPr="002D4FE9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="009C5801" w:rsidRPr="002D4FE9">
        <w:rPr>
          <w:rFonts w:ascii="Times New Roman" w:hAnsi="Times New Roman" w:cs="Times New Roman"/>
          <w:sz w:val="24"/>
          <w:szCs w:val="24"/>
        </w:rPr>
        <w:t xml:space="preserve"> colectoare in raport cu </w:t>
      </w:r>
      <w:r w:rsidR="00206BAC" w:rsidRPr="002D4FE9">
        <w:rPr>
          <w:rFonts w:ascii="Times New Roman" w:hAnsi="Times New Roman" w:cs="Times New Roman"/>
          <w:sz w:val="24"/>
          <w:szCs w:val="24"/>
        </w:rPr>
        <w:t xml:space="preserve">BRM/BETP 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si la care </w:t>
      </w:r>
      <w:r w:rsidR="00206BAC" w:rsidRPr="002D4FE9">
        <w:rPr>
          <w:rFonts w:ascii="Times New Roman" w:hAnsi="Times New Roman" w:cs="Times New Roman"/>
          <w:sz w:val="24"/>
          <w:szCs w:val="24"/>
        </w:rPr>
        <w:t>BETP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are deschis Contul Central care </w:t>
      </w:r>
      <w:r w:rsidR="00D55041" w:rsidRPr="002D4FE9">
        <w:rPr>
          <w:rFonts w:ascii="Times New Roman" w:hAnsi="Times New Roman" w:cs="Times New Roman"/>
          <w:sz w:val="24"/>
          <w:szCs w:val="24"/>
        </w:rPr>
        <w:t>urmează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a fi creditat sau a fost creditat cu sumele </w:t>
      </w:r>
      <w:r w:rsidR="00D55041" w:rsidRPr="002D4FE9">
        <w:rPr>
          <w:rFonts w:ascii="Times New Roman" w:hAnsi="Times New Roman" w:cs="Times New Roman"/>
          <w:sz w:val="24"/>
          <w:szCs w:val="24"/>
        </w:rPr>
        <w:t>prevăzute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in </w:t>
      </w:r>
      <w:r w:rsidR="00D55041" w:rsidRPr="002D4FE9">
        <w:rPr>
          <w:rFonts w:ascii="Times New Roman" w:hAnsi="Times New Roman" w:cs="Times New Roman"/>
          <w:sz w:val="24"/>
          <w:szCs w:val="24"/>
        </w:rPr>
        <w:t>Instrucțiunile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de debitare direct</w:t>
      </w:r>
      <w:r w:rsidR="00D55041" w:rsidRPr="002D4FE9">
        <w:rPr>
          <w:rFonts w:ascii="Times New Roman" w:hAnsi="Times New Roman" w:cs="Times New Roman"/>
          <w:sz w:val="24"/>
          <w:szCs w:val="24"/>
        </w:rPr>
        <w:t>ă</w:t>
      </w:r>
      <w:r w:rsidR="009C5801" w:rsidRPr="002D4FE9">
        <w:rPr>
          <w:rFonts w:ascii="Times New Roman" w:hAnsi="Times New Roman" w:cs="Times New Roman"/>
          <w:sz w:val="24"/>
          <w:szCs w:val="24"/>
        </w:rPr>
        <w:t>, emise de BRM</w:t>
      </w:r>
      <w:r w:rsidR="00206BAC" w:rsidRPr="002D4FE9">
        <w:rPr>
          <w:rFonts w:ascii="Times New Roman" w:hAnsi="Times New Roman" w:cs="Times New Roman"/>
          <w:sz w:val="24"/>
          <w:szCs w:val="24"/>
        </w:rPr>
        <w:t>/BETP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</w:t>
      </w:r>
      <w:r w:rsidR="00D55041" w:rsidRPr="002D4FE9">
        <w:rPr>
          <w:rFonts w:ascii="Times New Roman" w:hAnsi="Times New Roman" w:cs="Times New Roman"/>
          <w:sz w:val="24"/>
          <w:szCs w:val="24"/>
        </w:rPr>
        <w:t>ș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i debitat cu sumele </w:t>
      </w:r>
      <w:r w:rsidR="00D55041" w:rsidRPr="002D4FE9">
        <w:rPr>
          <w:rFonts w:ascii="Times New Roman" w:hAnsi="Times New Roman" w:cs="Times New Roman"/>
          <w:sz w:val="24"/>
          <w:szCs w:val="24"/>
        </w:rPr>
        <w:t>prevăzute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</w:t>
      </w:r>
      <w:r w:rsidR="00E85D06" w:rsidRPr="002D4FE9">
        <w:rPr>
          <w:rFonts w:ascii="Times New Roman" w:hAnsi="Times New Roman" w:cs="Times New Roman"/>
          <w:sz w:val="24"/>
          <w:szCs w:val="24"/>
        </w:rPr>
        <w:t>î</w:t>
      </w:r>
      <w:r w:rsidR="009C5801" w:rsidRPr="002D4FE9">
        <w:rPr>
          <w:rFonts w:ascii="Times New Roman" w:hAnsi="Times New Roman" w:cs="Times New Roman"/>
          <w:sz w:val="24"/>
          <w:szCs w:val="24"/>
        </w:rPr>
        <w:t>n ordinele de plat</w:t>
      </w:r>
      <w:r w:rsidR="00E85D06" w:rsidRPr="002D4FE9">
        <w:rPr>
          <w:rFonts w:ascii="Times New Roman" w:hAnsi="Times New Roman" w:cs="Times New Roman"/>
          <w:sz w:val="24"/>
          <w:szCs w:val="24"/>
        </w:rPr>
        <w:t>ă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 pentru </w:t>
      </w:r>
      <w:r w:rsidR="00E85D06" w:rsidRPr="002D4FE9">
        <w:rPr>
          <w:rFonts w:ascii="Times New Roman" w:hAnsi="Times New Roman" w:cs="Times New Roman"/>
          <w:sz w:val="24"/>
          <w:szCs w:val="24"/>
        </w:rPr>
        <w:t>P</w:t>
      </w:r>
      <w:r w:rsidR="009C5801" w:rsidRPr="002D4FE9">
        <w:rPr>
          <w:rFonts w:ascii="Times New Roman" w:hAnsi="Times New Roman" w:cs="Times New Roman"/>
          <w:sz w:val="24"/>
          <w:szCs w:val="24"/>
        </w:rPr>
        <w:t>ia</w:t>
      </w:r>
      <w:r w:rsidR="00E85D06" w:rsidRPr="002D4FE9">
        <w:rPr>
          <w:rFonts w:ascii="Times New Roman" w:hAnsi="Times New Roman" w:cs="Times New Roman"/>
          <w:sz w:val="24"/>
          <w:szCs w:val="24"/>
        </w:rPr>
        <w:t>ț</w:t>
      </w:r>
      <w:r w:rsidR="009C5801" w:rsidRPr="002D4FE9">
        <w:rPr>
          <w:rFonts w:ascii="Times New Roman" w:hAnsi="Times New Roman" w:cs="Times New Roman"/>
          <w:sz w:val="24"/>
          <w:szCs w:val="24"/>
        </w:rPr>
        <w:t xml:space="preserve">a din </w:t>
      </w:r>
      <w:r w:rsidR="00206BAC" w:rsidRPr="002D4FE9">
        <w:rPr>
          <w:rFonts w:ascii="Times New Roman" w:hAnsi="Times New Roman" w:cs="Times New Roman"/>
          <w:sz w:val="24"/>
          <w:szCs w:val="24"/>
        </w:rPr>
        <w:t>Bulgaria</w:t>
      </w:r>
      <w:r w:rsidR="009C5801" w:rsidRPr="002D4FE9">
        <w:rPr>
          <w:rFonts w:ascii="Times New Roman" w:hAnsi="Times New Roman" w:cs="Times New Roman"/>
          <w:sz w:val="24"/>
          <w:szCs w:val="24"/>
        </w:rPr>
        <w:t>.</w:t>
      </w:r>
    </w:p>
    <w:p w14:paraId="149E9B23" w14:textId="72820A3D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198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>Cont Central</w:t>
      </w:r>
      <w:r w:rsidR="004A5638" w:rsidRPr="002D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– contul deschis la Banca de cont central in numele BRM</w:t>
      </w:r>
      <w:r w:rsidR="00206BAC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fi creditat sau a fost creditat cu sumele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directa, emise de BRM</w:t>
      </w:r>
      <w:r w:rsidR="00206BAC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si debitat cu sumele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ordinele de plata. Acest cont este utilizat pentru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incasarea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si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efectuarea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platilor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aferente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tranzactiilor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pe </w:t>
      </w:r>
      <w:r w:rsidR="00826665" w:rsidRPr="002D4FE9">
        <w:rPr>
          <w:rFonts w:ascii="Times New Roman" w:hAnsi="Times New Roman" w:cs="Times New Roman"/>
          <w:sz w:val="24"/>
          <w:szCs w:val="24"/>
        </w:rPr>
        <w:t>Piața din România sau pe Piața din Bulgaria, după caz</w:t>
      </w:r>
      <w:r w:rsidRPr="002D4FE9">
        <w:rPr>
          <w:rFonts w:ascii="Times New Roman" w:hAnsi="Times New Roman" w:cs="Times New Roman"/>
          <w:sz w:val="24"/>
          <w:szCs w:val="24"/>
        </w:rPr>
        <w:t>.</w:t>
      </w:r>
    </w:p>
    <w:p w14:paraId="62A74E33" w14:textId="5E0BD727" w:rsidR="00D315E5" w:rsidRPr="002D4FE9" w:rsidRDefault="005851D8" w:rsidP="00D315E5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197" w:line="292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 xml:space="preserve">Contract privind debitarea directa (CDD) – </w:t>
      </w:r>
      <w:r w:rsidRPr="002D4FE9">
        <w:rPr>
          <w:rFonts w:ascii="Times New Roman" w:hAnsi="Times New Roman" w:cs="Times New Roman"/>
          <w:sz w:val="24"/>
          <w:szCs w:val="24"/>
        </w:rPr>
        <w:t xml:space="preserve">acord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intre BRM si BCR in calitate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colectoare, conform prevederilor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si europene aplicabile privind debitarea directa, precum si acceptul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colectoare referitor la utilizarea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BRM 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Instructiunilor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</w:t>
      </w:r>
      <w:r w:rsidR="005F4D73" w:rsidRPr="002D4FE9">
        <w:rPr>
          <w:rFonts w:ascii="Times New Roman" w:hAnsi="Times New Roman" w:cs="Times New Roman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in cadrul unei Scheme de debitare directa</w:t>
      </w:r>
      <w:r w:rsidR="00D315E5" w:rsidRPr="002D4FE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E85D06" w:rsidRPr="002D4FE9">
        <w:rPr>
          <w:rFonts w:ascii="Times New Roman" w:hAnsi="Times New Roman" w:cs="Times New Roman"/>
          <w:sz w:val="24"/>
          <w:szCs w:val="24"/>
        </w:rPr>
        <w:t>P</w:t>
      </w:r>
      <w:r w:rsidR="00D315E5" w:rsidRPr="002D4FE9">
        <w:rPr>
          <w:rFonts w:ascii="Times New Roman" w:hAnsi="Times New Roman" w:cs="Times New Roman"/>
          <w:sz w:val="24"/>
          <w:szCs w:val="24"/>
        </w:rPr>
        <w:t>iata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Romania</w:t>
      </w:r>
      <w:r w:rsidR="007115C3" w:rsidRPr="002D4FE9">
        <w:rPr>
          <w:rFonts w:ascii="Times New Roman" w:hAnsi="Times New Roman" w:cs="Times New Roman"/>
          <w:sz w:val="24"/>
          <w:szCs w:val="24"/>
        </w:rPr>
        <w:t>,respectiv</w:t>
      </w:r>
      <w:proofErr w:type="spellEnd"/>
      <w:r w:rsidR="007115C3" w:rsidRPr="002D4FE9">
        <w:rPr>
          <w:rFonts w:ascii="Times New Roman" w:hAnsi="Times New Roman" w:cs="Times New Roman"/>
          <w:sz w:val="24"/>
          <w:szCs w:val="24"/>
        </w:rPr>
        <w:t xml:space="preserve"> a</w:t>
      </w:r>
      <w:r w:rsidR="00D315E5" w:rsidRPr="002D4FE9">
        <w:rPr>
          <w:rFonts w:ascii="Times New Roman" w:hAnsi="Times New Roman" w:cs="Times New Roman"/>
          <w:sz w:val="24"/>
          <w:szCs w:val="24"/>
        </w:rPr>
        <w:t xml:space="preserve">cord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intre BETP si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 in calitate de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colectoare, conform prevederilor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si europene aplicabile privind debitarea directa, precum si acceptul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colectoare referitor la utilizarea de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BETP  a </w:t>
      </w:r>
      <w:proofErr w:type="spellStart"/>
      <w:r w:rsidR="00D315E5" w:rsidRPr="002D4FE9">
        <w:rPr>
          <w:rFonts w:ascii="Times New Roman" w:hAnsi="Times New Roman" w:cs="Times New Roman"/>
          <w:sz w:val="24"/>
          <w:szCs w:val="24"/>
        </w:rPr>
        <w:t>Instructiunilor</w:t>
      </w:r>
      <w:proofErr w:type="spellEnd"/>
      <w:r w:rsidR="00D315E5" w:rsidRPr="002D4FE9">
        <w:rPr>
          <w:rFonts w:ascii="Times New Roman" w:hAnsi="Times New Roman" w:cs="Times New Roman"/>
          <w:sz w:val="24"/>
          <w:szCs w:val="24"/>
        </w:rPr>
        <w:t xml:space="preserve"> de debitare directa</w:t>
      </w:r>
      <w:r w:rsidR="005F4D73" w:rsidRPr="002D4FE9">
        <w:rPr>
          <w:rFonts w:ascii="Times New Roman" w:hAnsi="Times New Roman" w:cs="Times New Roman"/>
          <w:sz w:val="24"/>
          <w:szCs w:val="24"/>
        </w:rPr>
        <w:t xml:space="preserve"> in cadrul unei Scheme de debitare directa pentru </w:t>
      </w:r>
      <w:proofErr w:type="spellStart"/>
      <w:r w:rsidR="005F4D73" w:rsidRPr="002D4FE9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="005F4D73" w:rsidRPr="002D4FE9">
        <w:rPr>
          <w:rFonts w:ascii="Times New Roman" w:hAnsi="Times New Roman" w:cs="Times New Roman"/>
          <w:sz w:val="24"/>
          <w:szCs w:val="24"/>
        </w:rPr>
        <w:t xml:space="preserve"> din Bulgaria.</w:t>
      </w:r>
    </w:p>
    <w:p w14:paraId="23B25127" w14:textId="0749EA75" w:rsidR="001508BA" w:rsidRPr="002D4FE9" w:rsidRDefault="001508BA" w:rsidP="00A13F9F">
      <w:pPr>
        <w:pStyle w:val="ListParagraph"/>
        <w:tabs>
          <w:tab w:val="left" w:pos="942"/>
          <w:tab w:val="left" w:pos="945"/>
        </w:tabs>
        <w:spacing w:before="197" w:line="292" w:lineRule="auto"/>
        <w:ind w:right="11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E00AEE" w14:textId="77777777" w:rsidR="001508BA" w:rsidRPr="002D4FE9" w:rsidRDefault="005851D8">
      <w:pPr>
        <w:pStyle w:val="ListParagraph"/>
        <w:numPr>
          <w:ilvl w:val="1"/>
          <w:numId w:val="3"/>
        </w:numPr>
        <w:tabs>
          <w:tab w:val="left" w:pos="945"/>
        </w:tabs>
        <w:spacing w:before="201"/>
        <w:ind w:right="0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lastRenderedPageBreak/>
        <w:t>Contul</w:t>
      </w:r>
      <w:r w:rsidRPr="002D4F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–contul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depozit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colateral</w:t>
      </w:r>
      <w:r w:rsidRPr="002D4F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deschis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Participant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Agentul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pacing w:val="-2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010040F" w14:textId="77777777" w:rsidR="001508BA" w:rsidRPr="002D4FE9" w:rsidRDefault="001508BA">
      <w:pPr>
        <w:pStyle w:val="BodyText"/>
        <w:spacing w:before="17"/>
        <w:rPr>
          <w:rFonts w:ascii="Times New Roman" w:hAnsi="Times New Roman" w:cs="Times New Roman"/>
          <w:sz w:val="24"/>
          <w:szCs w:val="24"/>
        </w:rPr>
      </w:pPr>
    </w:p>
    <w:p w14:paraId="117884C0" w14:textId="4D59B7D3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line="292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 xml:space="preserve">Debitare directa </w:t>
      </w:r>
      <w:r w:rsidRPr="002D4FE9">
        <w:rPr>
          <w:rFonts w:ascii="Times New Roman" w:hAnsi="Times New Roman" w:cs="Times New Roman"/>
          <w:sz w:val="24"/>
          <w:szCs w:val="24"/>
        </w:rPr>
        <w:t xml:space="preserve">– modalitate de plata a unei sume de bani convenite intre MC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cumparator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si BRM, care consta in debitarea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preautorizata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contului MC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cumparator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platitoare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baza prevederilor Mandatului de debitare directa, la solicitarea BRM</w:t>
      </w:r>
      <w:r w:rsidR="005F4D73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si creditarea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contului BRM</w:t>
      </w:r>
      <w:r w:rsidR="005F4D73" w:rsidRPr="002D4FE9">
        <w:rPr>
          <w:rFonts w:ascii="Times New Roman" w:hAnsi="Times New Roman" w:cs="Times New Roman"/>
          <w:sz w:val="24"/>
          <w:szCs w:val="24"/>
        </w:rPr>
        <w:t xml:space="preserve">/BETP </w:t>
      </w:r>
      <w:r w:rsidRPr="002D4F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Banca de cont central in baza Contractului privind debitarea directa; </w:t>
      </w:r>
    </w:p>
    <w:p w14:paraId="5789704C" w14:textId="2A6897E2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197" w:line="273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Institutie</w:t>
      </w:r>
      <w:proofErr w:type="spellEnd"/>
      <w:r w:rsidRPr="002D4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platitoare</w:t>
      </w:r>
      <w:proofErr w:type="spellEnd"/>
      <w:r w:rsidRPr="002D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credit la care Participantul are deschis contul curent 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fi debitat sau a fost debitat cu suma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Instructiunea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directa.</w:t>
      </w:r>
    </w:p>
    <w:p w14:paraId="4EA5F670" w14:textId="3E66BE68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201" w:line="292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b/>
          <w:sz w:val="24"/>
          <w:szCs w:val="24"/>
        </w:rPr>
        <w:t>de</w:t>
      </w:r>
      <w:r w:rsidRPr="002D4F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b/>
          <w:sz w:val="24"/>
          <w:szCs w:val="24"/>
        </w:rPr>
        <w:t>debitare</w:t>
      </w:r>
      <w:r w:rsidRPr="002D4FE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b/>
          <w:sz w:val="24"/>
          <w:szCs w:val="24"/>
        </w:rPr>
        <w:t>directa</w:t>
      </w:r>
      <w:r w:rsidRPr="002D4F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b/>
          <w:sz w:val="24"/>
          <w:szCs w:val="24"/>
        </w:rPr>
        <w:t xml:space="preserve">(IDD) </w:t>
      </w:r>
      <w:r w:rsidRPr="002D4FE9">
        <w:rPr>
          <w:rFonts w:ascii="Times New Roman" w:hAnsi="Times New Roman" w:cs="Times New Roman"/>
          <w:sz w:val="24"/>
          <w:szCs w:val="24"/>
        </w:rPr>
        <w:t>–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plata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prin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debitare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directa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formulata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 BRM</w:t>
      </w:r>
      <w:r w:rsidR="005F4D73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Banca de cont central la care BRM</w:t>
      </w:r>
      <w:r w:rsidR="005F4D73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are deschis Contul Central 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fi creditat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sau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fost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creditat de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platitoare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la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care MC are deschis contul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curent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fi debitat sau a fost debitat cu suma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respectiva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>directa</w:t>
      </w:r>
      <w:r w:rsidRPr="002D4FE9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2F38860C" w14:textId="04591F4C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75" w:line="292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>Mandat de debitare direct</w:t>
      </w:r>
      <w:r w:rsidRPr="002D4FE9">
        <w:rPr>
          <w:rFonts w:ascii="Times New Roman" w:hAnsi="Times New Roman" w:cs="Times New Roman"/>
          <w:sz w:val="24"/>
          <w:szCs w:val="24"/>
        </w:rPr>
        <w:t xml:space="preserve">a </w:t>
      </w:r>
      <w:r w:rsidRPr="002D4FE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D4FE9">
        <w:rPr>
          <w:rFonts w:ascii="Times New Roman" w:hAnsi="Times New Roman" w:cs="Times New Roman"/>
          <w:sz w:val="24"/>
          <w:szCs w:val="24"/>
        </w:rPr>
        <w:t xml:space="preserve">document care satisface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legale si prin care un Participant acorda o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permanenta, dar revocabila BRM</w:t>
      </w:r>
      <w:r w:rsidR="005F4D73" w:rsidRPr="002D4FE9">
        <w:rPr>
          <w:rFonts w:ascii="Times New Roman" w:hAnsi="Times New Roman" w:cs="Times New Roman"/>
          <w:sz w:val="24"/>
          <w:szCs w:val="24"/>
        </w:rPr>
        <w:t xml:space="preserve">/BETP </w:t>
      </w:r>
      <w:r w:rsidRPr="002D4FE9">
        <w:rPr>
          <w:rFonts w:ascii="Times New Roman" w:hAnsi="Times New Roman" w:cs="Times New Roman"/>
          <w:sz w:val="24"/>
          <w:szCs w:val="24"/>
        </w:rPr>
        <w:t xml:space="preserve"> pentru a emite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 asupra contului sau curent deschis la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platitoare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si, respectiv, dreptul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platitoare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a-i debita contul curent cu suma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debitare directa emise de BRM</w:t>
      </w:r>
      <w:r w:rsidR="005F4D73" w:rsidRPr="002D4FE9">
        <w:rPr>
          <w:rFonts w:ascii="Times New Roman" w:hAnsi="Times New Roman" w:cs="Times New Roman"/>
          <w:sz w:val="24"/>
          <w:szCs w:val="24"/>
        </w:rPr>
        <w:t>/BETP.</w:t>
      </w:r>
      <w:r w:rsidRPr="002D4FE9">
        <w:rPr>
          <w:rFonts w:ascii="Times New Roman" w:hAnsi="Times New Roman" w:cs="Times New Roman"/>
          <w:sz w:val="24"/>
          <w:szCs w:val="24"/>
        </w:rPr>
        <w:t>.</w:t>
      </w:r>
    </w:p>
    <w:p w14:paraId="267B4F2E" w14:textId="49F71DD3" w:rsidR="001508BA" w:rsidRPr="002D4FE9" w:rsidRDefault="005851D8">
      <w:pPr>
        <w:pStyle w:val="ListParagraph"/>
        <w:numPr>
          <w:ilvl w:val="1"/>
          <w:numId w:val="3"/>
        </w:numPr>
        <w:tabs>
          <w:tab w:val="left" w:pos="942"/>
          <w:tab w:val="left" w:pos="945"/>
        </w:tabs>
        <w:spacing w:before="199" w:line="292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b/>
          <w:sz w:val="24"/>
          <w:szCs w:val="24"/>
        </w:rPr>
        <w:t xml:space="preserve">Scrisoare de </w:t>
      </w:r>
      <w:proofErr w:type="spellStart"/>
      <w:r w:rsidRPr="002D4FE9">
        <w:rPr>
          <w:rFonts w:ascii="Times New Roman" w:hAnsi="Times New Roman" w:cs="Times New Roman"/>
          <w:b/>
          <w:sz w:val="24"/>
          <w:szCs w:val="24"/>
        </w:rPr>
        <w:t>Garantie</w:t>
      </w:r>
      <w:proofErr w:type="spellEnd"/>
      <w:r w:rsidRPr="002D4FE9">
        <w:rPr>
          <w:rFonts w:ascii="Times New Roman" w:hAnsi="Times New Roman" w:cs="Times New Roman"/>
          <w:b/>
          <w:sz w:val="24"/>
          <w:szCs w:val="24"/>
        </w:rPr>
        <w:t xml:space="preserve"> Bancara (SGB) </w:t>
      </w:r>
      <w:r w:rsidRPr="002D4FE9">
        <w:rPr>
          <w:rFonts w:ascii="Times New Roman" w:hAnsi="Times New Roman" w:cs="Times New Roman"/>
          <w:sz w:val="24"/>
          <w:szCs w:val="24"/>
        </w:rPr>
        <w:t xml:space="preserve">– instrumentul financiar prin care se constituie o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plata in favoarea BRM</w:t>
      </w:r>
      <w:r w:rsidR="005F4D73" w:rsidRPr="002D4FE9">
        <w:rPr>
          <w:rFonts w:ascii="Times New Roman" w:hAnsi="Times New Roman" w:cs="Times New Roman"/>
          <w:sz w:val="24"/>
          <w:szCs w:val="24"/>
        </w:rPr>
        <w:t xml:space="preserve">/BETP </w:t>
      </w:r>
      <w:r w:rsidRPr="002D4F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Participant, conform prevederilor acestui Contract.</w:t>
      </w:r>
    </w:p>
    <w:p w14:paraId="639962DD" w14:textId="77777777" w:rsidR="001508BA" w:rsidRPr="002D4FE9" w:rsidRDefault="001508B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0E72993F" w14:textId="77777777" w:rsidR="001508BA" w:rsidRPr="002D4FE9" w:rsidRDefault="005851D8">
      <w:pPr>
        <w:pStyle w:val="BodyText"/>
        <w:spacing w:before="1" w:line="295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termeni sau expresii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scrisi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cu majuscula vor avea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intelesul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definit in Regulament de compensare, decontare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gestionare a riscului al Bursei Române de Mărfuri în calitate de Contraparte Centrală</w:t>
      </w:r>
    </w:p>
    <w:p w14:paraId="5D6DBB02" w14:textId="77777777" w:rsidR="001508BA" w:rsidRPr="002D4FE9" w:rsidRDefault="001508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5AC339C" w14:textId="77777777" w:rsidR="001508BA" w:rsidRPr="002D4FE9" w:rsidRDefault="001508BA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5C3C54A4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2A140737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1A27DD62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63185FAC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6365DEF5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3C556CC6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4EBAE222" w14:textId="77777777" w:rsidR="004A5638" w:rsidRPr="002D4FE9" w:rsidRDefault="004A5638">
      <w:pPr>
        <w:pStyle w:val="BodyText"/>
        <w:spacing w:before="160"/>
        <w:rPr>
          <w:rFonts w:ascii="Times New Roman" w:hAnsi="Times New Roman" w:cs="Times New Roman"/>
          <w:sz w:val="24"/>
          <w:szCs w:val="24"/>
        </w:rPr>
      </w:pPr>
    </w:p>
    <w:p w14:paraId="4A44D97D" w14:textId="77777777" w:rsidR="001508BA" w:rsidRPr="002D4FE9" w:rsidRDefault="005851D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Debitarea</w:t>
      </w:r>
      <w:r w:rsidRPr="002D4F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>directa</w:t>
      </w:r>
    </w:p>
    <w:p w14:paraId="4E5866E0" w14:textId="77777777" w:rsidR="001508BA" w:rsidRPr="002D4FE9" w:rsidRDefault="001508B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06F90BE" w14:textId="00554CBC" w:rsidR="001508BA" w:rsidRPr="002D4FE9" w:rsidRDefault="005851D8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MC va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un Mandat de debitare directa in beneficiul BRM</w:t>
      </w:r>
      <w:r w:rsidR="005F4D73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baza in care banca MC, in calitate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plătitoare, va debita </w:t>
      </w:r>
      <w:r w:rsidR="009D143B" w:rsidRPr="002D4FE9">
        <w:rPr>
          <w:rFonts w:ascii="Times New Roman" w:hAnsi="Times New Roman" w:cs="Times New Roman"/>
          <w:sz w:val="24"/>
          <w:szCs w:val="24"/>
        </w:rPr>
        <w:t xml:space="preserve">Contul de Disponibil </w:t>
      </w:r>
      <w:r w:rsidRPr="002D4FE9">
        <w:rPr>
          <w:rFonts w:ascii="Times New Roman" w:hAnsi="Times New Roman" w:cs="Times New Roman"/>
          <w:sz w:val="24"/>
          <w:szCs w:val="24"/>
        </w:rPr>
        <w:t xml:space="preserve">al MC cu suma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prevazută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în fiecare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debitare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directa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emisa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="00494ED4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si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care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va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fi pus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Bancii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cont central la cererea acesteia.</w:t>
      </w:r>
    </w:p>
    <w:p w14:paraId="6F3F35B9" w14:textId="51717279" w:rsidR="001508BA" w:rsidRPr="002D4FE9" w:rsidRDefault="005851D8" w:rsidP="00A13F9F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8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Debitarea directa se va realiza </w:t>
      </w:r>
      <w:r w:rsidR="00494ED4" w:rsidRPr="002D4FE9">
        <w:rPr>
          <w:rFonts w:ascii="Times New Roman" w:hAnsi="Times New Roman" w:cs="Times New Roman"/>
          <w:sz w:val="24"/>
          <w:szCs w:val="24"/>
        </w:rPr>
        <w:t xml:space="preserve">si </w:t>
      </w:r>
      <w:r w:rsidRPr="002D4FE9">
        <w:rPr>
          <w:rFonts w:ascii="Times New Roman" w:hAnsi="Times New Roman" w:cs="Times New Roman"/>
          <w:sz w:val="24"/>
          <w:szCs w:val="24"/>
        </w:rPr>
        <w:t xml:space="preserve">pentru Apelul în Marjă. </w:t>
      </w:r>
    </w:p>
    <w:p w14:paraId="4C315FDC" w14:textId="77777777" w:rsidR="002D4FE9" w:rsidRPr="002D4FE9" w:rsidRDefault="002D4FE9" w:rsidP="002D4FE9">
      <w:pPr>
        <w:tabs>
          <w:tab w:val="left" w:pos="818"/>
          <w:tab w:val="left" w:pos="820"/>
        </w:tabs>
        <w:spacing w:before="8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66FCF157" w14:textId="77777777" w:rsidR="001508BA" w:rsidRPr="002D4FE9" w:rsidRDefault="005851D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Garantarea</w:t>
      </w:r>
      <w:r w:rsidRPr="002D4F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pacing w:val="-2"/>
          <w:sz w:val="24"/>
          <w:szCs w:val="24"/>
        </w:rPr>
        <w:t>tranzactiilor</w:t>
      </w:r>
      <w:proofErr w:type="spellEnd"/>
    </w:p>
    <w:p w14:paraId="10C38F9E" w14:textId="77777777" w:rsidR="001508BA" w:rsidRPr="002D4FE9" w:rsidRDefault="001508BA">
      <w:pPr>
        <w:pStyle w:val="BodyText"/>
        <w:spacing w:before="18"/>
        <w:rPr>
          <w:rFonts w:ascii="Times New Roman" w:hAnsi="Times New Roman" w:cs="Times New Roman"/>
          <w:b/>
          <w:sz w:val="24"/>
          <w:szCs w:val="24"/>
        </w:rPr>
      </w:pPr>
    </w:p>
    <w:p w14:paraId="39696149" w14:textId="77777777" w:rsidR="001508BA" w:rsidRPr="002D4FE9" w:rsidRDefault="005851D8">
      <w:pPr>
        <w:pStyle w:val="ListParagraph"/>
        <w:numPr>
          <w:ilvl w:val="0"/>
          <w:numId w:val="1"/>
        </w:numPr>
        <w:tabs>
          <w:tab w:val="left" w:pos="911"/>
        </w:tabs>
        <w:spacing w:line="295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In scopul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garantarii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Marjelor si in vederea acoperirii expunerii financiare fata de BRM, MC va putea constitui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tipuri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Garantii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>:</w:t>
      </w:r>
    </w:p>
    <w:p w14:paraId="1AC612E6" w14:textId="3EC2CF6D" w:rsidR="001508BA" w:rsidRPr="002D4FE9" w:rsidRDefault="001508BA" w:rsidP="00A13F9F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0A21B83A" w14:textId="0CF38774" w:rsidR="00494ED4" w:rsidRPr="002D4FE9" w:rsidRDefault="00494ED4" w:rsidP="00A13F9F">
      <w:pPr>
        <w:pStyle w:val="ListParagraph"/>
        <w:numPr>
          <w:ilvl w:val="1"/>
          <w:numId w:val="1"/>
        </w:numPr>
        <w:tabs>
          <w:tab w:val="left" w:pos="1480"/>
        </w:tabs>
        <w:spacing w:line="292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Fonduri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banesti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depuse prin ordin de plata in favoarea BRM/BETP</w:t>
      </w:r>
    </w:p>
    <w:p w14:paraId="2EBEF346" w14:textId="65EB9E3E" w:rsidR="001508BA" w:rsidRPr="002D4FE9" w:rsidRDefault="005851D8" w:rsidP="00776304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Scrisoare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Bancara (SGB) in favoarea BRM emisa de Banca de cont central sau</w:t>
      </w:r>
      <w:r w:rsidRPr="002D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de o alta banca comerciala autorizata in Romania si acceptata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BRM si/sau</w:t>
      </w:r>
      <w:r w:rsidR="00494ED4" w:rsidRPr="002D4FE9">
        <w:rPr>
          <w:rFonts w:ascii="Times New Roman" w:hAnsi="Times New Roman" w:cs="Times New Roman"/>
          <w:sz w:val="24"/>
          <w:szCs w:val="24"/>
        </w:rPr>
        <w:t xml:space="preserve"> Scrisoare de </w:t>
      </w:r>
      <w:proofErr w:type="spellStart"/>
      <w:r w:rsidR="00494ED4" w:rsidRPr="002D4FE9">
        <w:rPr>
          <w:rFonts w:ascii="Times New Roman" w:hAnsi="Times New Roman" w:cs="Times New Roman"/>
          <w:sz w:val="24"/>
          <w:szCs w:val="24"/>
        </w:rPr>
        <w:t>Garantie</w:t>
      </w:r>
      <w:proofErr w:type="spellEnd"/>
      <w:r w:rsidR="00494ED4" w:rsidRPr="002D4FE9">
        <w:rPr>
          <w:rFonts w:ascii="Times New Roman" w:hAnsi="Times New Roman" w:cs="Times New Roman"/>
          <w:sz w:val="24"/>
          <w:szCs w:val="24"/>
        </w:rPr>
        <w:t xml:space="preserve"> Bancara (SGB) in favoarea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="00494ED4" w:rsidRPr="002D4FE9">
        <w:rPr>
          <w:rFonts w:ascii="Times New Roman" w:hAnsi="Times New Roman" w:cs="Times New Roman"/>
          <w:sz w:val="24"/>
          <w:szCs w:val="24"/>
        </w:rPr>
        <w:t xml:space="preserve"> emisa de Banca de cont central in Bulgaria</w:t>
      </w:r>
      <w:r w:rsidR="00776304" w:rsidRPr="002D4FE9">
        <w:rPr>
          <w:rFonts w:ascii="Times New Roman" w:hAnsi="Times New Roman" w:cs="Times New Roman"/>
          <w:sz w:val="24"/>
          <w:szCs w:val="24"/>
        </w:rPr>
        <w:t>.</w:t>
      </w:r>
    </w:p>
    <w:p w14:paraId="6E877F9F" w14:textId="77777777" w:rsidR="001508BA" w:rsidRPr="002D4FE9" w:rsidRDefault="005851D8">
      <w:pPr>
        <w:pStyle w:val="ListParagraph"/>
        <w:numPr>
          <w:ilvl w:val="1"/>
          <w:numId w:val="1"/>
        </w:numPr>
        <w:tabs>
          <w:tab w:val="left" w:pos="1480"/>
        </w:tabs>
        <w:spacing w:line="292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Cont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in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favoarea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Banca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cont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central</w:t>
      </w:r>
      <w:r w:rsidRPr="002D4FE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sau</w:t>
      </w:r>
      <w:r w:rsidRPr="002D4FE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o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alta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banca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comerciala autorizata in Romania si acceptata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BRM, care se va constitui ca Agent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>.</w:t>
      </w:r>
    </w:p>
    <w:p w14:paraId="426F3B89" w14:textId="1B22966E" w:rsidR="00776304" w:rsidRPr="002D4FE9" w:rsidRDefault="00776304" w:rsidP="00A13F9F">
      <w:pPr>
        <w:pStyle w:val="ListParagraph"/>
        <w:tabs>
          <w:tab w:val="left" w:pos="1480"/>
        </w:tabs>
        <w:spacing w:line="292" w:lineRule="auto"/>
        <w:ind w:left="1480" w:right="127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Cont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in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favoarea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5851D8" w:rsidRPr="002D4FE9">
        <w:rPr>
          <w:rFonts w:ascii="Times New Roman" w:hAnsi="Times New Roman" w:cs="Times New Roman"/>
          <w:sz w:val="24"/>
          <w:szCs w:val="24"/>
        </w:rPr>
        <w:t>BRM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Banca</w:t>
      </w:r>
      <w:r w:rsidRPr="002D4FE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cont</w:t>
      </w:r>
      <w:r w:rsidRPr="002D4FE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central</w:t>
      </w:r>
      <w:r w:rsidRPr="002D4FE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in Bulgaria, care se va constitui ca Agent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>.</w:t>
      </w:r>
    </w:p>
    <w:p w14:paraId="73AD000E" w14:textId="77777777" w:rsidR="00776304" w:rsidRPr="002D4FE9" w:rsidRDefault="00776304" w:rsidP="00A13F9F">
      <w:pPr>
        <w:tabs>
          <w:tab w:val="left" w:pos="1480"/>
        </w:tabs>
        <w:spacing w:line="292" w:lineRule="auto"/>
        <w:ind w:right="127"/>
        <w:rPr>
          <w:rFonts w:ascii="Times New Roman" w:hAnsi="Times New Roman" w:cs="Times New Roman"/>
          <w:sz w:val="24"/>
          <w:szCs w:val="24"/>
        </w:rPr>
      </w:pPr>
    </w:p>
    <w:p w14:paraId="5F37E3A2" w14:textId="0A7A2209" w:rsidR="001508BA" w:rsidRPr="002D4FE9" w:rsidRDefault="005851D8">
      <w:pPr>
        <w:pStyle w:val="ListParagraph"/>
        <w:numPr>
          <w:ilvl w:val="0"/>
          <w:numId w:val="1"/>
        </w:numPr>
        <w:tabs>
          <w:tab w:val="left" w:pos="911"/>
        </w:tabs>
        <w:spacing w:before="197"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>SGB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va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constitui,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cheltuiala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exclusiva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 MC,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 un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angajament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care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executa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prima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si simpla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cerere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="00776304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>.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SGB va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avea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o perioada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valabilitate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minimum 3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luni,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ca aceasta valabilitate sa fie extinsa pe cheltuiala exclusiva a MC. MC</w:t>
      </w:r>
      <w:r w:rsidR="00776304" w:rsidRPr="002D4FE9">
        <w:rPr>
          <w:rFonts w:ascii="Times New Roman" w:hAnsi="Times New Roman" w:cs="Times New Roman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va furniza BRM</w:t>
      </w:r>
      <w:r w:rsidR="00776304" w:rsidRPr="002D4FE9">
        <w:rPr>
          <w:rFonts w:ascii="Times New Roman" w:hAnsi="Times New Roman" w:cs="Times New Roman"/>
          <w:sz w:val="24"/>
          <w:szCs w:val="24"/>
        </w:rPr>
        <w:t>/BETP</w:t>
      </w:r>
      <w:r w:rsidRPr="002D4FE9">
        <w:rPr>
          <w:rFonts w:ascii="Times New Roman" w:hAnsi="Times New Roman" w:cs="Times New Roman"/>
          <w:sz w:val="24"/>
          <w:szCs w:val="24"/>
        </w:rPr>
        <w:t xml:space="preserve"> dovada emiterii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unei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noi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SGB,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sau,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caz,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extinderii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perioadei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valabilitate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SGB</w:t>
      </w:r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existente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cu</w:t>
      </w:r>
      <w:r w:rsidRPr="002D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cel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5 zile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expirarii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perioade de valabilitate, sub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neluarii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in considerare a SGB. </w:t>
      </w:r>
    </w:p>
    <w:p w14:paraId="28289C01" w14:textId="08CA434D" w:rsidR="001508BA" w:rsidRPr="002D4FE9" w:rsidRDefault="005851D8" w:rsidP="001C5527">
      <w:pPr>
        <w:pStyle w:val="ListParagraph"/>
        <w:numPr>
          <w:ilvl w:val="0"/>
          <w:numId w:val="1"/>
        </w:numPr>
        <w:tabs>
          <w:tab w:val="left" w:pos="911"/>
        </w:tabs>
        <w:spacing w:before="197" w:line="29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Contul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se va constitui prin semnarea unui contract 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, si depunerea in Contul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a unei sume de bani. Contractul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va permite Agentului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sa vireze BRM orice sume necesare pentru acoperirea Marjelor. Agentul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Escrow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nu va avea nicio liberate de apreciere asupra temeiniciei cererii BRM</w:t>
      </w:r>
      <w:r w:rsidR="001C5527" w:rsidRPr="002D4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elibera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sumele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solicitate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de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BRM</w:t>
      </w:r>
      <w:r w:rsidRPr="002D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la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simpla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cerere</w:t>
      </w:r>
      <w:r w:rsidRPr="002D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>acesteia.</w:t>
      </w:r>
    </w:p>
    <w:p w14:paraId="38F5925A" w14:textId="77777777" w:rsidR="001508BA" w:rsidRPr="002D4FE9" w:rsidRDefault="001508BA">
      <w:pPr>
        <w:pStyle w:val="BodyText"/>
        <w:spacing w:before="18"/>
        <w:rPr>
          <w:rFonts w:ascii="Times New Roman" w:hAnsi="Times New Roman" w:cs="Times New Roman"/>
          <w:sz w:val="24"/>
          <w:szCs w:val="24"/>
        </w:rPr>
      </w:pPr>
    </w:p>
    <w:p w14:paraId="3FFC652E" w14:textId="77777777" w:rsidR="001508BA" w:rsidRPr="002D4FE9" w:rsidRDefault="005851D8">
      <w:pPr>
        <w:pStyle w:val="ListParagraph"/>
        <w:numPr>
          <w:ilvl w:val="0"/>
          <w:numId w:val="1"/>
        </w:numPr>
        <w:tabs>
          <w:tab w:val="left" w:pos="911"/>
        </w:tabs>
        <w:spacing w:line="29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4FE9">
        <w:rPr>
          <w:rFonts w:ascii="Times New Roman" w:hAnsi="Times New Roman" w:cs="Times New Roman"/>
          <w:sz w:val="24"/>
          <w:szCs w:val="24"/>
        </w:rPr>
        <w:t xml:space="preserve">MC este de drept in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pentru toate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de plata conform</w:t>
      </w:r>
      <w:r w:rsidRPr="002D4F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Marjelor, debitarea directa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si/sau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executarea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Garantiilor</w:t>
      </w:r>
      <w:proofErr w:type="spellEnd"/>
      <w:r w:rsidRPr="002D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se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realiza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nicio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instiintare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prealabila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>a MC</w:t>
      </w:r>
      <w:r w:rsidRPr="002D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FE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BRM si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nicio alta formalitate, cu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celor </w:t>
      </w:r>
      <w:proofErr w:type="spellStart"/>
      <w:r w:rsidRPr="002D4FE9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4FE9">
        <w:rPr>
          <w:rFonts w:ascii="Times New Roman" w:hAnsi="Times New Roman" w:cs="Times New Roman"/>
          <w:sz w:val="24"/>
          <w:szCs w:val="24"/>
        </w:rPr>
        <w:t xml:space="preserve"> expres in prezenta </w:t>
      </w:r>
      <w:proofErr w:type="spellStart"/>
      <w:r w:rsidRPr="002D4FE9">
        <w:rPr>
          <w:rFonts w:ascii="Times New Roman" w:hAnsi="Times New Roman" w:cs="Times New Roman"/>
          <w:spacing w:val="-2"/>
          <w:sz w:val="24"/>
          <w:szCs w:val="24"/>
        </w:rPr>
        <w:t>Instructiune</w:t>
      </w:r>
      <w:proofErr w:type="spellEnd"/>
      <w:r w:rsidRPr="002D4F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1508BA" w:rsidRPr="002D4FE9">
      <w:headerReference w:type="default" r:id="rId7"/>
      <w:footerReference w:type="default" r:id="rId8"/>
      <w:pgSz w:w="12240" w:h="15840"/>
      <w:pgMar w:top="140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64FC" w14:textId="77777777" w:rsidR="00F57C82" w:rsidRDefault="00F57C82">
      <w:r>
        <w:separator/>
      </w:r>
    </w:p>
  </w:endnote>
  <w:endnote w:type="continuationSeparator" w:id="0">
    <w:p w14:paraId="051FF885" w14:textId="77777777" w:rsidR="00F57C82" w:rsidRDefault="00F5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7C68" w14:textId="77777777" w:rsidR="001508BA" w:rsidRDefault="005851D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4B2E12B2" wp14:editId="41900BA2">
              <wp:simplePos x="0" y="0"/>
              <wp:positionH relativeFrom="page">
                <wp:posOffset>3813936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B1EF1" w14:textId="77777777" w:rsidR="001508BA" w:rsidRDefault="005851D8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E12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AvUe043wAAAA0BAAAP&#10;AAAAAAAAAAAAAAAAAOsDAABkcnMvZG93bnJldi54bWxQSwUGAAAAAAQABADzAAAA9wQAAAAA&#10;" filled="f" stroked="f">
              <v:textbox inset="0,0,0,0">
                <w:txbxContent>
                  <w:p w14:paraId="4E1B1EF1" w14:textId="77777777" w:rsidR="001508BA" w:rsidRDefault="005851D8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5DE0D" w14:textId="77777777" w:rsidR="00F57C82" w:rsidRDefault="00F57C82">
      <w:r>
        <w:separator/>
      </w:r>
    </w:p>
  </w:footnote>
  <w:footnote w:type="continuationSeparator" w:id="0">
    <w:p w14:paraId="393E07F8" w14:textId="77777777" w:rsidR="00F57C82" w:rsidRDefault="00F5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85F7" w14:textId="77777777" w:rsidR="00702F12" w:rsidRDefault="00702F12" w:rsidP="00A13F9F">
    <w:pPr>
      <w:pStyle w:val="Header"/>
      <w:jc w:val="right"/>
      <w:rPr>
        <w:lang w:val="en-GB"/>
      </w:rPr>
    </w:pPr>
  </w:p>
  <w:p w14:paraId="245F8FC2" w14:textId="3A28F47F" w:rsidR="00776304" w:rsidRPr="00702F12" w:rsidRDefault="00776304" w:rsidP="00A13F9F">
    <w:pPr>
      <w:pStyle w:val="Header"/>
      <w:jc w:val="right"/>
      <w:rPr>
        <w:rFonts w:ascii="Times New Roman" w:hAnsi="Times New Roman" w:cs="Times New Roman"/>
        <w:sz w:val="24"/>
        <w:szCs w:val="24"/>
        <w:lang w:val="en-GB"/>
      </w:rPr>
    </w:pPr>
    <w:proofErr w:type="spellStart"/>
    <w:r w:rsidRPr="00702F12">
      <w:rPr>
        <w:rFonts w:ascii="Times New Roman" w:hAnsi="Times New Roman" w:cs="Times New Roman"/>
        <w:sz w:val="24"/>
        <w:szCs w:val="24"/>
        <w:lang w:val="en-GB"/>
      </w:rPr>
      <w:t>Versiunea</w:t>
    </w:r>
    <w:proofErr w:type="spellEnd"/>
    <w:r w:rsidRPr="00702F12">
      <w:rPr>
        <w:rFonts w:ascii="Times New Roman" w:hAnsi="Times New Roman" w:cs="Times New Roman"/>
        <w:sz w:val="24"/>
        <w:szCs w:val="24"/>
        <w:lang w:val="en-GB"/>
      </w:rPr>
      <w:t xml:space="preserve">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B3F9B"/>
    <w:multiLevelType w:val="hybridMultilevel"/>
    <w:tmpl w:val="C728D9FA"/>
    <w:lvl w:ilvl="0" w:tplc="E522DD22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E18C63D4">
      <w:numFmt w:val="bullet"/>
      <w:lvlText w:val="•"/>
      <w:lvlJc w:val="left"/>
      <w:pPr>
        <w:ind w:left="1696" w:hanging="720"/>
      </w:pPr>
      <w:rPr>
        <w:rFonts w:hint="default"/>
        <w:lang w:val="ro-RO" w:eastAsia="en-US" w:bidi="ar-SA"/>
      </w:rPr>
    </w:lvl>
    <w:lvl w:ilvl="2" w:tplc="4832092E">
      <w:numFmt w:val="bullet"/>
      <w:lvlText w:val="•"/>
      <w:lvlJc w:val="left"/>
      <w:pPr>
        <w:ind w:left="2572" w:hanging="720"/>
      </w:pPr>
      <w:rPr>
        <w:rFonts w:hint="default"/>
        <w:lang w:val="ro-RO" w:eastAsia="en-US" w:bidi="ar-SA"/>
      </w:rPr>
    </w:lvl>
    <w:lvl w:ilvl="3" w:tplc="666A6738">
      <w:numFmt w:val="bullet"/>
      <w:lvlText w:val="•"/>
      <w:lvlJc w:val="left"/>
      <w:pPr>
        <w:ind w:left="3448" w:hanging="720"/>
      </w:pPr>
      <w:rPr>
        <w:rFonts w:hint="default"/>
        <w:lang w:val="ro-RO" w:eastAsia="en-US" w:bidi="ar-SA"/>
      </w:rPr>
    </w:lvl>
    <w:lvl w:ilvl="4" w:tplc="4DD09E10">
      <w:numFmt w:val="bullet"/>
      <w:lvlText w:val="•"/>
      <w:lvlJc w:val="left"/>
      <w:pPr>
        <w:ind w:left="4324" w:hanging="720"/>
      </w:pPr>
      <w:rPr>
        <w:rFonts w:hint="default"/>
        <w:lang w:val="ro-RO" w:eastAsia="en-US" w:bidi="ar-SA"/>
      </w:rPr>
    </w:lvl>
    <w:lvl w:ilvl="5" w:tplc="5E207496">
      <w:numFmt w:val="bullet"/>
      <w:lvlText w:val="•"/>
      <w:lvlJc w:val="left"/>
      <w:pPr>
        <w:ind w:left="5200" w:hanging="720"/>
      </w:pPr>
      <w:rPr>
        <w:rFonts w:hint="default"/>
        <w:lang w:val="ro-RO" w:eastAsia="en-US" w:bidi="ar-SA"/>
      </w:rPr>
    </w:lvl>
    <w:lvl w:ilvl="6" w:tplc="0B260706">
      <w:numFmt w:val="bullet"/>
      <w:lvlText w:val="•"/>
      <w:lvlJc w:val="left"/>
      <w:pPr>
        <w:ind w:left="6076" w:hanging="720"/>
      </w:pPr>
      <w:rPr>
        <w:rFonts w:hint="default"/>
        <w:lang w:val="ro-RO" w:eastAsia="en-US" w:bidi="ar-SA"/>
      </w:rPr>
    </w:lvl>
    <w:lvl w:ilvl="7" w:tplc="E1F65E78">
      <w:numFmt w:val="bullet"/>
      <w:lvlText w:val="•"/>
      <w:lvlJc w:val="left"/>
      <w:pPr>
        <w:ind w:left="6952" w:hanging="720"/>
      </w:pPr>
      <w:rPr>
        <w:rFonts w:hint="default"/>
        <w:lang w:val="ro-RO" w:eastAsia="en-US" w:bidi="ar-SA"/>
      </w:rPr>
    </w:lvl>
    <w:lvl w:ilvl="8" w:tplc="8EC0BCB0">
      <w:numFmt w:val="bullet"/>
      <w:lvlText w:val="•"/>
      <w:lvlJc w:val="left"/>
      <w:pPr>
        <w:ind w:left="7828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659D7C54"/>
    <w:multiLevelType w:val="hybridMultilevel"/>
    <w:tmpl w:val="CFA21206"/>
    <w:lvl w:ilvl="0" w:tplc="E3024C7E">
      <w:start w:val="1"/>
      <w:numFmt w:val="decimal"/>
      <w:lvlText w:val="%1."/>
      <w:lvlJc w:val="left"/>
      <w:pPr>
        <w:ind w:left="911" w:hanging="8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D7AC683E">
      <w:start w:val="1"/>
      <w:numFmt w:val="lowerRoman"/>
      <w:lvlText w:val="(%2)"/>
      <w:lvlJc w:val="left"/>
      <w:pPr>
        <w:ind w:left="148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ro-RO" w:eastAsia="en-US" w:bidi="ar-SA"/>
      </w:rPr>
    </w:lvl>
    <w:lvl w:ilvl="2" w:tplc="85104936">
      <w:numFmt w:val="bullet"/>
      <w:lvlText w:val="•"/>
      <w:lvlJc w:val="left"/>
      <w:pPr>
        <w:ind w:left="2380" w:hanging="567"/>
      </w:pPr>
      <w:rPr>
        <w:rFonts w:hint="default"/>
        <w:lang w:val="ro-RO" w:eastAsia="en-US" w:bidi="ar-SA"/>
      </w:rPr>
    </w:lvl>
    <w:lvl w:ilvl="3" w:tplc="319A25FC">
      <w:numFmt w:val="bullet"/>
      <w:lvlText w:val="•"/>
      <w:lvlJc w:val="left"/>
      <w:pPr>
        <w:ind w:left="3280" w:hanging="567"/>
      </w:pPr>
      <w:rPr>
        <w:rFonts w:hint="default"/>
        <w:lang w:val="ro-RO" w:eastAsia="en-US" w:bidi="ar-SA"/>
      </w:rPr>
    </w:lvl>
    <w:lvl w:ilvl="4" w:tplc="A9107282">
      <w:numFmt w:val="bullet"/>
      <w:lvlText w:val="•"/>
      <w:lvlJc w:val="left"/>
      <w:pPr>
        <w:ind w:left="4180" w:hanging="567"/>
      </w:pPr>
      <w:rPr>
        <w:rFonts w:hint="default"/>
        <w:lang w:val="ro-RO" w:eastAsia="en-US" w:bidi="ar-SA"/>
      </w:rPr>
    </w:lvl>
    <w:lvl w:ilvl="5" w:tplc="47E46680">
      <w:numFmt w:val="bullet"/>
      <w:lvlText w:val="•"/>
      <w:lvlJc w:val="left"/>
      <w:pPr>
        <w:ind w:left="5080" w:hanging="567"/>
      </w:pPr>
      <w:rPr>
        <w:rFonts w:hint="default"/>
        <w:lang w:val="ro-RO" w:eastAsia="en-US" w:bidi="ar-SA"/>
      </w:rPr>
    </w:lvl>
    <w:lvl w:ilvl="6" w:tplc="96802722">
      <w:numFmt w:val="bullet"/>
      <w:lvlText w:val="•"/>
      <w:lvlJc w:val="left"/>
      <w:pPr>
        <w:ind w:left="5980" w:hanging="567"/>
      </w:pPr>
      <w:rPr>
        <w:rFonts w:hint="default"/>
        <w:lang w:val="ro-RO" w:eastAsia="en-US" w:bidi="ar-SA"/>
      </w:rPr>
    </w:lvl>
    <w:lvl w:ilvl="7" w:tplc="CF94D990">
      <w:numFmt w:val="bullet"/>
      <w:lvlText w:val="•"/>
      <w:lvlJc w:val="left"/>
      <w:pPr>
        <w:ind w:left="6880" w:hanging="567"/>
      </w:pPr>
      <w:rPr>
        <w:rFonts w:hint="default"/>
        <w:lang w:val="ro-RO" w:eastAsia="en-US" w:bidi="ar-SA"/>
      </w:rPr>
    </w:lvl>
    <w:lvl w:ilvl="8" w:tplc="11BA7042">
      <w:numFmt w:val="bullet"/>
      <w:lvlText w:val="•"/>
      <w:lvlJc w:val="left"/>
      <w:pPr>
        <w:ind w:left="7780" w:hanging="567"/>
      </w:pPr>
      <w:rPr>
        <w:rFonts w:hint="default"/>
        <w:lang w:val="ro-RO" w:eastAsia="en-US" w:bidi="ar-SA"/>
      </w:rPr>
    </w:lvl>
  </w:abstractNum>
  <w:abstractNum w:abstractNumId="2" w15:restartNumberingAfterBreak="0">
    <w:nsid w:val="6B9A4637"/>
    <w:multiLevelType w:val="hybridMultilevel"/>
    <w:tmpl w:val="E4981E90"/>
    <w:lvl w:ilvl="0" w:tplc="59CE984A">
      <w:start w:val="2"/>
      <w:numFmt w:val="bullet"/>
      <w:lvlText w:val="-"/>
      <w:lvlJc w:val="left"/>
      <w:pPr>
        <w:ind w:left="106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71232B33"/>
    <w:multiLevelType w:val="multilevel"/>
    <w:tmpl w:val="400EDC4A"/>
    <w:lvl w:ilvl="0">
      <w:start w:val="1"/>
      <w:numFmt w:val="decimal"/>
      <w:lvlText w:val="%1"/>
      <w:lvlJc w:val="left"/>
      <w:pPr>
        <w:ind w:left="945" w:hanging="84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45" w:hanging="8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68" w:hanging="84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32" w:hanging="84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96" w:hanging="84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260" w:hanging="84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124" w:hanging="84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88" w:hanging="84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52" w:hanging="845"/>
      </w:pPr>
      <w:rPr>
        <w:rFonts w:hint="default"/>
        <w:lang w:val="ro-RO" w:eastAsia="en-US" w:bidi="ar-SA"/>
      </w:rPr>
    </w:lvl>
  </w:abstractNum>
  <w:num w:numId="1" w16cid:durableId="1803301499">
    <w:abstractNumId w:val="1"/>
  </w:num>
  <w:num w:numId="2" w16cid:durableId="535972673">
    <w:abstractNumId w:val="0"/>
  </w:num>
  <w:num w:numId="3" w16cid:durableId="1104305605">
    <w:abstractNumId w:val="3"/>
  </w:num>
  <w:num w:numId="4" w16cid:durableId="26974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BA"/>
    <w:rsid w:val="001508BA"/>
    <w:rsid w:val="001C5527"/>
    <w:rsid w:val="00206BAC"/>
    <w:rsid w:val="002D4FE9"/>
    <w:rsid w:val="00494ED4"/>
    <w:rsid w:val="004A0A54"/>
    <w:rsid w:val="004A5638"/>
    <w:rsid w:val="00504364"/>
    <w:rsid w:val="005851D8"/>
    <w:rsid w:val="005F4D73"/>
    <w:rsid w:val="00651A67"/>
    <w:rsid w:val="00702F12"/>
    <w:rsid w:val="007115C3"/>
    <w:rsid w:val="00776304"/>
    <w:rsid w:val="00826665"/>
    <w:rsid w:val="008A3EB1"/>
    <w:rsid w:val="009C5801"/>
    <w:rsid w:val="009D143B"/>
    <w:rsid w:val="00A13F9F"/>
    <w:rsid w:val="00A65F1F"/>
    <w:rsid w:val="00D315E5"/>
    <w:rsid w:val="00D55041"/>
    <w:rsid w:val="00E85D06"/>
    <w:rsid w:val="00F57C82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070C"/>
  <w15:docId w15:val="{52060F98-E0F1-46BF-BBFC-3024204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9"/>
    <w:qFormat/>
    <w:pPr>
      <w:ind w:left="6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7"/>
      <w:ind w:left="703" w:right="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45" w:right="114" w:hanging="84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C5801"/>
    <w:pPr>
      <w:widowControl/>
      <w:autoSpaceDE/>
      <w:autoSpaceDN/>
    </w:pPr>
    <w:rPr>
      <w:rFonts w:ascii="Arial" w:eastAsia="Arial" w:hAnsi="Arial" w:cs="Arial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0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BAC"/>
    <w:rPr>
      <w:rFonts w:ascii="Arial" w:eastAsia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AC"/>
    <w:rPr>
      <w:rFonts w:ascii="Arial" w:eastAsia="Arial" w:hAnsi="Arial" w:cs="Arial"/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76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04"/>
    <w:rPr>
      <w:rFonts w:ascii="Arial" w:eastAsia="Arial" w:hAnsi="Arial" w:cs="Arial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76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04"/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ioana.dragan</dc:creator>
  <cp:lastModifiedBy>Mihai Stroiny</cp:lastModifiedBy>
  <cp:revision>8</cp:revision>
  <dcterms:created xsi:type="dcterms:W3CDTF">2025-02-06T14:37:00Z</dcterms:created>
  <dcterms:modified xsi:type="dcterms:W3CDTF">2025-02-14T09:57:00Z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