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5448" w14:textId="2C3368C4" w:rsidR="00FB0DAE" w:rsidRPr="00C2039B" w:rsidRDefault="0065518C" w:rsidP="00FB0D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39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2 – </w:t>
      </w:r>
      <w:r w:rsidR="00FB0DAE" w:rsidRPr="00C2039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ACORD - CADRU </w:t>
      </w:r>
    </w:p>
    <w:p w14:paraId="468013A5" w14:textId="3BE4AA82" w:rsidR="0065518C" w:rsidRPr="00C2039B" w:rsidRDefault="00FB0DAE" w:rsidP="00FB0D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39B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PREST</w:t>
      </w:r>
      <w:r w:rsidR="00AB554D" w:rsidRPr="00C2039B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C2039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RI SERVICII DE CONTRAPARTE PENTRU PIAȚA PRODUSELOR PE TERMEN SCURT </w:t>
      </w:r>
    </w:p>
    <w:p w14:paraId="42548052" w14:textId="446E559F" w:rsidR="00FB0DAE" w:rsidRPr="00C2039B" w:rsidRDefault="00FB0DAE" w:rsidP="00FB0DA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039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(aplicabil doar Participanților pe </w:t>
      </w:r>
      <w:r w:rsidR="008000E2" w:rsidRPr="00C2039B">
        <w:rPr>
          <w:rFonts w:ascii="Times New Roman" w:hAnsi="Times New Roman" w:cs="Times New Roman"/>
          <w:b/>
          <w:bCs/>
          <w:sz w:val="24"/>
          <w:szCs w:val="24"/>
          <w:lang w:val="ro-RO"/>
        </w:rPr>
        <w:t>Piaţa produselor standardizate pe termen scurt (gaze naturale</w:t>
      </w:r>
      <w:r w:rsidRPr="00C2039B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14:paraId="02C6E600" w14:textId="77777777" w:rsidR="00FB0DAE" w:rsidRPr="007A4C72" w:rsidRDefault="00FB0DAE" w:rsidP="00FB0DA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115" w:type="dxa"/>
        <w:jc w:val="center"/>
        <w:tblBorders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045"/>
        <w:gridCol w:w="70"/>
      </w:tblGrid>
      <w:tr w:rsidR="00FB0DAE" w:rsidRPr="007A4C72" w14:paraId="5EE0CBA3" w14:textId="77777777" w:rsidTr="002B3D86">
        <w:trPr>
          <w:trHeight w:val="2596"/>
          <w:jc w:val="center"/>
        </w:trPr>
        <w:tc>
          <w:tcPr>
            <w:tcW w:w="10115" w:type="dxa"/>
            <w:gridSpan w:val="2"/>
          </w:tcPr>
          <w:p w14:paraId="6A0D4766" w14:textId="57D788AE" w:rsidR="00FB0DAE" w:rsidRPr="007A4C72" w:rsidRDefault="00FB0DAE" w:rsidP="008000E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Hlk113547136"/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ACORD - CADRU</w:t>
            </w:r>
          </w:p>
          <w:p w14:paraId="1A7907D2" w14:textId="6E91EEB4" w:rsidR="00FB0DAE" w:rsidRPr="007A4C72" w:rsidRDefault="00FB0DAE" w:rsidP="008000E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PENTRU PREST</w:t>
            </w:r>
            <w:r w:rsidR="00AB554D"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RI SERVICII DE CONTRAPARTE PENTRU PIAȚA PRODUSELOR PE TERMEN SCURT</w:t>
            </w:r>
          </w:p>
          <w:bookmarkEnd w:id="0"/>
          <w:p w14:paraId="302DCF1E" w14:textId="0546806E" w:rsidR="00FB0DAE" w:rsidRPr="007A4C72" w:rsidRDefault="00AB554D" w:rsidP="00FB0DAE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="00FB0DAE"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ncheiat </w:t>
            </w: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="00FB0DAE"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ntre:</w:t>
            </w:r>
          </w:p>
          <w:p w14:paraId="686F84D8" w14:textId="3799E523" w:rsidR="00FB0DAE" w:rsidRPr="007A4C72" w:rsidRDefault="00FB0DAE" w:rsidP="00AF3525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Bursa Rom</w:t>
            </w:r>
            <w:r w:rsidR="00AB554D"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  <w:r w:rsidR="00AB554D"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de M</w:t>
            </w:r>
            <w:r w:rsidR="00AB554D"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rfuri S.A.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nd sediu social 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 Bucure</w:t>
            </w:r>
            <w:r w:rsidR="00C5298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ti, Str. Buze</w:t>
            </w:r>
            <w:r w:rsidR="00C5298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ti nr. 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82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94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etaj 7, Sector 1, Cod 011015, Reg. </w:t>
            </w:r>
            <w:proofErr w:type="spellStart"/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</w:t>
            </w:r>
            <w:proofErr w:type="spellEnd"/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J40/19450/1992, CIF RO1562694, </w:t>
            </w:r>
            <w:r w:rsidR="00AF35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 următoarele conturi</w:t>
            </w:r>
            <w:r w:rsidR="00AF3525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AF3525" w:rsidRPr="00AF35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Cont de garanții: RO50 RNCB 0082 0009 9180 0641 - lei;</w:t>
            </w:r>
            <w:r w:rsidR="00AF35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F3525" w:rsidRPr="00AF35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Cont curent: RO64 RNCB 0082 0009 9180 0001 </w:t>
            </w:r>
            <w:r w:rsidR="00AF35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AF3525" w:rsidRPr="00AF35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 w:rsidR="00AF35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reprezentat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legal de Dl. Gabriel PURICE, Pre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edinte -Director General, denumit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 continuare: </w:t>
            </w:r>
            <w:r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BRM</w:t>
            </w:r>
          </w:p>
          <w:p w14:paraId="247921E6" w14:textId="77777777" w:rsidR="009262DC" w:rsidRPr="007A4C72" w:rsidRDefault="009262DC" w:rsidP="007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9482F3C" w14:textId="6780A3EA" w:rsidR="00FB0DAE" w:rsidRPr="00C2039B" w:rsidRDefault="00AB554D" w:rsidP="00FB0DAE">
            <w:pPr>
              <w:widowControl w:val="0"/>
              <w:spacing w:after="200" w:line="276" w:lineRule="auto"/>
              <w:ind w:lef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0148BF55" w14:textId="79A3172C" w:rsidR="00FB0DAE" w:rsidRPr="00C2039B" w:rsidRDefault="00FB0DAE" w:rsidP="00FB0DAE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................................, 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av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nd sediu social 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 ....................., Str. ................... nr............., , Sector/Jude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.............., Cod ..............., Reg. Com</w:t>
            </w:r>
            <w:r w:rsidR="00C5298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erțului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.................., CIF ..................., </w:t>
            </w:r>
            <w:r w:rsidR="00AF35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cont curent..............................,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reprezentat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legal de Dl./Dna ........................,  denumit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 continuare: </w:t>
            </w:r>
            <w:r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Participant la Pia</w:t>
            </w:r>
            <w:r w:rsidR="00AB554D"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 produselor pe termen scurt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denumit </w:t>
            </w:r>
            <w:r w:rsidR="00AB554D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 continuare</w:t>
            </w:r>
            <w:r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Participant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</w:p>
        </w:tc>
      </w:tr>
      <w:tr w:rsidR="00FB0DAE" w:rsidRPr="00C2039B" w14:paraId="3499E474" w14:textId="77777777" w:rsidTr="002B3D86">
        <w:trPr>
          <w:jc w:val="center"/>
        </w:trPr>
        <w:tc>
          <w:tcPr>
            <w:tcW w:w="10115" w:type="dxa"/>
            <w:gridSpan w:val="2"/>
          </w:tcPr>
          <w:p w14:paraId="70F1090D" w14:textId="44AEB06C" w:rsidR="00FB0DAE" w:rsidRPr="007A4C72" w:rsidRDefault="00FB0DAE" w:rsidP="00FB0DAE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Denumite </w:t>
            </w:r>
            <w:r w:rsidR="00AB554D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 continuare colectiv </w:t>
            </w: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="00C5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  <w:r w:rsidR="00C5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ile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69F51F0C" w14:textId="2C9DD6C1" w:rsidR="00FB0DAE" w:rsidRPr="007A4C72" w:rsidRDefault="00FB0DAE" w:rsidP="00FB0DAE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="00AB554D"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  <w:r w:rsidR="00AB554D"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ile au convenit </w:t>
            </w:r>
            <w:r w:rsidR="00AB554D"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ncheierea prezentului Acord, </w:t>
            </w:r>
            <w:r w:rsidR="00AB554D"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 urm</w:t>
            </w:r>
            <w:r w:rsidR="00AB554D"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toarele condi</w:t>
            </w:r>
            <w:r w:rsidR="00AB554D"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ii:</w:t>
            </w:r>
          </w:p>
          <w:p w14:paraId="7BB4FBC7" w14:textId="625F4927" w:rsidR="00FB0DAE" w:rsidRPr="007A4C72" w:rsidRDefault="00FB0DAE" w:rsidP="00FB0DAE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Defini</w:t>
            </w:r>
            <w:r w:rsidR="00AB554D" w:rsidRPr="007A4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ii</w:t>
            </w:r>
          </w:p>
          <w:p w14:paraId="692BFB20" w14:textId="73A8B111" w:rsidR="00FB0DAE" w:rsidRPr="007A4C72" w:rsidRDefault="00AB554D" w:rsidP="00FB0DAE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FB0DAE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 prezentul Acord, urm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FB0DAE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torii termeni vor fi interpreta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FB0DAE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dup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FB0DAE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cum urmeaz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FB0DAE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74DE1F3" w14:textId="23390430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Agentul Escrow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– banca comercial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agreat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de BRM, care va deschide la ordinul clientului s</w:t>
            </w:r>
            <w:r w:rsidR="002C1653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u (Participantul la 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BRM DAY-AHEAD</w:t>
            </w:r>
            <w:r w:rsidR="00AE2EF6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/</w:t>
            </w:r>
            <w:r w:rsidR="00AE2EF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AE2EF6" w:rsidRPr="00C2039B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ro-RO"/>
              </w:rPr>
              <w:t>Within-day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GAZ)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Contul escrow în favoarea BRM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.</w:t>
            </w:r>
          </w:p>
          <w:p w14:paraId="61E2139F" w14:textId="452F845C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Banca de cont central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(BCR)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– Banca Comercial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Rom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S.A., care ac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ioneaz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ca institu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ie colectoare 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n raport cu BRM 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la care BRM are deschis Contul Central aferent BRM DAY-AHEAD</w:t>
            </w:r>
            <w:r w:rsidR="00AE2EF6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/</w:t>
            </w:r>
            <w:r w:rsidR="00AE2EF6" w:rsidRPr="00C2039B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ro-RO"/>
              </w:rPr>
              <w:t>Within-day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GAZ care urmeaz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 fi creditat sau a fost creditat cu sumele prev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zute </w:t>
            </w:r>
            <w:r w:rsidR="00AB554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Instruc</w:t>
            </w:r>
            <w:r w:rsidR="000E3C38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iunile de debitare direct</w:t>
            </w:r>
            <w:r w:rsidR="000E3C38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, emise de BRM </w:t>
            </w:r>
            <w:r w:rsidR="000E3C38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debitat cu sumele prev</w:t>
            </w:r>
            <w:r w:rsidR="000E3C38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zute </w:t>
            </w:r>
            <w:r w:rsidR="000E3C38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ordinele de plat</w:t>
            </w:r>
            <w:r w:rsidR="000E3C38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.</w:t>
            </w:r>
          </w:p>
          <w:p w14:paraId="3917ADA1" w14:textId="647FC5E4" w:rsidR="00FB0DAE" w:rsidRPr="007A4C72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Banca de Decontare</w:t>
            </w:r>
            <w:r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– Banca comercial</w:t>
            </w:r>
            <w:r w:rsidR="000E3C38"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la care Participantul </w:t>
            </w:r>
            <w:r w:rsidR="000E3C38"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i-a deschis contul care urmeaz</w:t>
            </w:r>
            <w:r w:rsidR="000E3C38"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 fi debitat sau a fost debitat cu suma prevazut</w:t>
            </w:r>
            <w:r w:rsidR="000E3C38"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0E3C38"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n instruc</w:t>
            </w:r>
            <w:r w:rsidR="000E3C38"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iunea de debitare direct</w:t>
            </w:r>
            <w:r w:rsidR="000E3C38"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;</w:t>
            </w:r>
          </w:p>
          <w:p w14:paraId="5C6CBE6C" w14:textId="39BF22AA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lastRenderedPageBreak/>
              <w:t xml:space="preserve">Cont Central aferent 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Pie</w:t>
            </w:r>
            <w:r w:rsidR="00DB6EEA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ei produselor pe termen scurt  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– contul deschis la Banca de cont central </w:t>
            </w:r>
            <w:r w:rsidR="00DB6EEA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n numele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BRM, care urmeaz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 fi creditat sau a fost creditat cu sumele prev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zute 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Instruc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iunile de debitare direct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, emise de BRM 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debitat cu sumele prev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zute 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ordinele de plat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. Acest cont este utilizat pentru 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ncasarea 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efectuarea pl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ilor aferente tranzac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iilor 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ncheiate pe 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BRM DAY-AHEAD</w:t>
            </w:r>
            <w:r w:rsidR="00AE2EF6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/</w:t>
            </w:r>
            <w:r w:rsidR="00AE2EF6" w:rsidRPr="007A4C72">
              <w:rPr>
                <w:lang w:val="ro-RO"/>
              </w:rPr>
              <w:t xml:space="preserve"> </w:t>
            </w:r>
            <w:r w:rsidR="00AE2EF6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Within-day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GAZ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.</w:t>
            </w:r>
          </w:p>
          <w:p w14:paraId="52D21345" w14:textId="7E0257AD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Acord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– prezentul act juridic 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anexele sale, care reprezint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acordul de voin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neechivoc 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i obligatoriu al BRM 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al Participantului la BRM DAY-AHEAD</w:t>
            </w:r>
            <w:r w:rsidR="00AE2EF6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/</w:t>
            </w:r>
            <w:r w:rsidR="00AE2EF6" w:rsidRPr="00C2039B">
              <w:rPr>
                <w:lang w:val="ro-RO"/>
              </w:rPr>
              <w:t xml:space="preserve"> </w:t>
            </w:r>
            <w:r w:rsidR="00AE2EF6" w:rsidRPr="00C2039B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ro-RO"/>
              </w:rPr>
              <w:t>Within-day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GAZ cu privire la serviciile care fac obiectul Acordului.</w:t>
            </w:r>
          </w:p>
          <w:p w14:paraId="603A1655" w14:textId="50956372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Contract privind debitarea direct</w:t>
            </w:r>
            <w:r w:rsidR="00DB6EEA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(CDD) –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acord încheiat între BRM si BCR în calitate de Institu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ie colectoare, conform prevederilor legisla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iei na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ionale 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europene aplicabile privind debitarea direct</w:t>
            </w:r>
            <w:r w:rsidR="00DB6EE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, precum 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acceptul Institu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iei colectoare referitor la utilizarea de c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tre BRM a Instruc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iunilor de debitare direct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cadrul unei Scheme de debitare direct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.</w:t>
            </w:r>
          </w:p>
          <w:p w14:paraId="2F7793AC" w14:textId="77777777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Contul escrow 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–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contul de depozit colateral deschis de Participant la Agentul Escrow.</w:t>
            </w:r>
          </w:p>
          <w:p w14:paraId="1968EA54" w14:textId="77777777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Data finalizării -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ziua bancar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(z) în care suma prev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zut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Instruc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iunea de debitare direct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este creditat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Contul Central 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aferent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Pieței produselor pe termen scurt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 c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Institu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colectoare. Data finaliz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aferente Instruc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iunilor de debitare direct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interbancare este aceeași cu data decont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interbancare (data compens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rii).</w:t>
            </w:r>
          </w:p>
          <w:p w14:paraId="68F25EDF" w14:textId="7C1C616D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Debitare direct</w:t>
            </w:r>
            <w:r w:rsidR="0020162B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– modalitate de plat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 unei sume de bani convenite 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ntre Participantul cump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r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tor 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BRM, care const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debitarea preautorizat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 contului Participantului cump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r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tor de c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tre Institu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ia pl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titoare 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baza prevederilor Mandatului de debitare direct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, la solicitarea BRM 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creditarea corespunz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toare a contului BRM de c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tre Banca de cont central 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baza Contractului privind debitarea direct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; aceast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modalitate de plat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nu necesit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autorizarea prealabil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de catre Participantul cump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r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tor a fiec</w:t>
            </w:r>
            <w:r w:rsidR="0020162B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rei instruc</w:t>
            </w:r>
            <w:r w:rsidR="002020B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iuni de debitare direct</w:t>
            </w:r>
            <w:r w:rsidR="002020B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tras</w:t>
            </w:r>
            <w:r w:rsidR="002020B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asupra contului sau, a</w:t>
            </w:r>
            <w:r w:rsidR="002020B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a cum este reglementat </w:t>
            </w:r>
            <w:r w:rsidR="002020B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Regulamentul BNR nr. 2/2016  privind opera</w:t>
            </w:r>
            <w:r w:rsidR="002020B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iunile de transfer de credit </w:t>
            </w:r>
            <w:r w:rsidR="002020B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debitare direct</w:t>
            </w:r>
            <w:r w:rsidR="002020B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.</w:t>
            </w:r>
          </w:p>
          <w:p w14:paraId="352E805B" w14:textId="77777777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Dreptul la rambursare –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dreptul unui Participant de a formula o pretenție de rambursare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legatur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cu o Instruc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 de debitare direct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(cu exceptia celor din categoria SDD B2B) la Institu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plătitoare care deține contul Participantului și, respectiv, dreptul de a primi întreaga sum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aferent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Instrucțiunii de debitare direct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solicitare care trebuie formulat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în condițiile prev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zute în legislația națională aplicabil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ă.</w:t>
            </w:r>
          </w:p>
          <w:p w14:paraId="53FEF9C0" w14:textId="46C1A989" w:rsidR="00FB0DAE" w:rsidRPr="007A4C72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Identificatorul Pl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titorului la BRM (Id Pl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titor) – 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informa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 destinat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identific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Participantului pl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titor de c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BRM (ex: cod de abonat).</w:t>
            </w:r>
          </w:p>
          <w:p w14:paraId="77C01AA8" w14:textId="39D7CDAD" w:rsidR="00FB0DAE" w:rsidRPr="007A4C72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Institu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ie pl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titoare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– institu</w:t>
            </w:r>
            <w:r w:rsidR="002020B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ia de credit la care Participantul are deschis contul curent care urmeaz</w:t>
            </w:r>
            <w:r w:rsidR="002020B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 fi debitat sau a fost debitat cu suma prevazut</w:t>
            </w:r>
            <w:r w:rsidR="002020B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2020B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Instruc</w:t>
            </w:r>
            <w:r w:rsidR="002020B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iunea de debitare direct</w:t>
            </w:r>
            <w:r w:rsidR="002020B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.</w:t>
            </w:r>
          </w:p>
          <w:p w14:paraId="1FCB8C0E" w14:textId="196AEBA8" w:rsidR="00FB0DAE" w:rsidRPr="007A4C72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Instruc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iune de debitare direct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(IDD) – 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instruc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 de plat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prin debitare direct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formulat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BRM c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Banca de cont central la care BRM are deschis Contul Central aferent BRM DAY-AHEAD</w:t>
            </w:r>
            <w:r w:rsidR="00AE2EF6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/</w:t>
            </w:r>
            <w:r w:rsidR="00AE2EF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AE2EF6" w:rsidRPr="00C2039B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ro-RO"/>
              </w:rPr>
              <w:t>Within-day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GAZ care urmeaz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fi creditat sau a fost creditat de c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institu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pl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titoare la care Participantul are deschis contul curent care urmeaz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fi debitat sau a fost debitat cu suma prevazut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respectiva Instruc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 de debitare direct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</w:p>
          <w:p w14:paraId="5EC8B3A6" w14:textId="265588B1" w:rsidR="00FB0DAE" w:rsidRPr="007A4C72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lastRenderedPageBreak/>
              <w:t>Instruc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iune de debitare direct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interbancar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(IDD interbancar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) –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instruc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 de plat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prin debitare direct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cadrul careia Banca de cont central este diferit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institu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pl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titoare la care Participantul are deschis contul curent care urmeaz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fi debitat sau a fost debitat cu suma prevazut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Instruc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iunea de debitare direct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</w:p>
          <w:p w14:paraId="54A0DAD8" w14:textId="5FF6B847" w:rsidR="00FB0DAE" w:rsidRPr="007A4C72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Instruc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iune de debitare direct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intrabancar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(IDD intrabancar</w:t>
            </w:r>
            <w:r w:rsidR="002020BD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) - 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instruc</w:t>
            </w:r>
            <w:r w:rsidR="002020B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 de plat</w:t>
            </w:r>
            <w:r w:rsidR="00C6008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prin debitare direct</w:t>
            </w:r>
            <w:r w:rsidR="00C6008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C6008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cadrul c</w:t>
            </w:r>
            <w:r w:rsidR="00C6008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reia banca de cont central este aceea</w:t>
            </w:r>
            <w:r w:rsidR="00C6008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cu institu</w:t>
            </w:r>
            <w:r w:rsidR="00C6008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pl</w:t>
            </w:r>
            <w:r w:rsidR="00C6008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titoare la care Participantul are deschis contul curent care urmeaz</w:t>
            </w:r>
            <w:r w:rsidR="00C6008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fi debitat sau a fost debitat cu suma prevazut</w:t>
            </w:r>
            <w:r w:rsidR="00C6008D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C6008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Instruc</w:t>
            </w:r>
            <w:r w:rsidR="00C6008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iunea de debitare direct</w:t>
            </w:r>
            <w:r w:rsidR="00C6008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(Institu</w:t>
            </w:r>
            <w:r w:rsidR="00C6008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ia colectoare este identic</w:t>
            </w:r>
            <w:r w:rsidR="00C6008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cu Institu</w:t>
            </w:r>
            <w:r w:rsidR="00C6008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ia pl</w:t>
            </w:r>
            <w:r w:rsidR="00C6008D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titoare).</w:t>
            </w:r>
          </w:p>
          <w:p w14:paraId="39F86DC1" w14:textId="78FEF9B0" w:rsidR="00FB0DAE" w:rsidRPr="007A4C72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Limita</w:t>
            </w:r>
            <w:r w:rsidR="008C481A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–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cuantumul în limita căruia Participantul poate tranzacționa în cadrul ședintelor de tranzacționare, reprezentând, pentru ordinele de cumparare ale Participantului valoarea cumulată a soldului Contului 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escrow și a sumei acoperite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de Scrisoarea de Garanție Bancară (SGB), iar pentru ordinele de v</w:t>
            </w:r>
            <w:r w:rsidR="00C6008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nzare ale Participantului, valoarea stabilit</w:t>
            </w:r>
            <w:r w:rsidR="00C6008D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de BRM.</w:t>
            </w:r>
          </w:p>
          <w:p w14:paraId="0A97646D" w14:textId="48363E7D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Limita maxim</w:t>
            </w:r>
            <w:r w:rsidR="00C6008D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a perioadei de transmitere a Instruc</w:t>
            </w:r>
            <w:r w:rsidR="00C6008D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iunilor de debitare direct</w:t>
            </w:r>
            <w:r w:rsidR="00C6008D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– este de cinci zile lucr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toare (z-5) 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reprezint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num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rul maxim de zile 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nainte de Data finaliz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rii (z) 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o Instruc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 de debitare direct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poate fi introdus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sistemul de decontare al B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ncii de cont central; Instruc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iunile de debitare direct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se pot primi de la BRM 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anterior limitei maxime a perioadei de transmitere, cu men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iunea c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acestea se 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ncarc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sistemul informatic al B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ncii de cont central 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a</w:t>
            </w:r>
            <w:r w:rsidR="00C6008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teptare, urm</w:t>
            </w:r>
            <w:r w:rsidR="000A0889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ca introducerea </w:t>
            </w:r>
            <w:r w:rsidR="000A0889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sistemul de decontare al B</w:t>
            </w:r>
            <w:r w:rsidR="000A0889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ncii de cont central s</w:t>
            </w:r>
            <w:r w:rsidR="000A0889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se realizeze </w:t>
            </w:r>
            <w:r w:rsidR="000A0889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n cadrul acestei limite, respectiv </w:t>
            </w:r>
            <w:r w:rsidR="000A0889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ncep</w:t>
            </w:r>
            <w:r w:rsidR="000A0889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nd cu data (z-5).</w:t>
            </w:r>
          </w:p>
          <w:p w14:paraId="6CF45EDF" w14:textId="71B0C4C8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Limita minim</w:t>
            </w:r>
            <w:r w:rsidR="000A0889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a perioadei de transmitere a Instruc</w:t>
            </w:r>
            <w:r w:rsidR="000A0889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iunilor de debitare direct</w:t>
            </w:r>
            <w:r w:rsidR="000A0889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intrabancar</w:t>
            </w:r>
            <w:r w:rsidR="000A0889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– 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func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 de solicitarea BRM, poate fi de o zi lucr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toare (z-1) sau zero zile (z) 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reprezint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num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rul minim de zile bancare 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nainte de Data finaliz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la care o Instruc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 de debitare direct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intrabancar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poate fi introdus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sistemul de decontare al B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ncii de cont central.</w:t>
            </w:r>
          </w:p>
          <w:p w14:paraId="75E87078" w14:textId="71B24E5C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Limita minim</w:t>
            </w:r>
            <w:r w:rsidR="00DB44E7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a perioadei de transmitere a Instruc</w:t>
            </w:r>
            <w:r w:rsidR="00DB44E7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iunilor de debitare direct</w:t>
            </w:r>
            <w:r w:rsidR="00DB44E7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interbancare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– este de o zi lucr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toare (z-1) 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reprezint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num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rul minim de zile bancare 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nainte de Data finaliz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la care o Instruc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 de debitare direct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interbancar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poate fi introdus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sistemul de decontare al B</w:t>
            </w:r>
            <w:r w:rsidR="00DB44E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ncii de cont central.</w:t>
            </w:r>
          </w:p>
          <w:p w14:paraId="712F9551" w14:textId="0788E307" w:rsidR="00FB0DAE" w:rsidRPr="007A4C72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Mandat de debitare direct</w:t>
            </w:r>
            <w:r w:rsidR="00DB44E7" w:rsidRPr="007A4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– 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document care satisface cerin</w:t>
            </w:r>
            <w:r w:rsidR="00DB44E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ele legale </w:t>
            </w:r>
            <w:r w:rsidR="00DB44E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prin care un Participant acord</w:t>
            </w:r>
            <w:r w:rsidR="00DB44E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o autorizatie permanent</w:t>
            </w:r>
            <w:r w:rsidR="00DB44E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, dar revocabil</w:t>
            </w:r>
            <w:r w:rsidR="00DB44E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BRM pentru a emite Instruc</w:t>
            </w:r>
            <w:r w:rsidR="00DB44E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iuni de debitare direct</w:t>
            </w:r>
            <w:r w:rsidR="00DB44E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asupra contului s</w:t>
            </w:r>
            <w:r w:rsidR="00DB44E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u curent deschis la Institu</w:t>
            </w:r>
            <w:r w:rsidR="00C0134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ia pl</w:t>
            </w:r>
            <w:r w:rsidR="00C0134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titoare </w:t>
            </w:r>
            <w:r w:rsidR="00C0134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i, respectiv, dreptul Institu</w:t>
            </w:r>
            <w:r w:rsidR="00C0134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iei pl</w:t>
            </w:r>
            <w:r w:rsidR="00C0134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titoare de a-i debita contul curent cu suma prevazut</w:t>
            </w:r>
            <w:r w:rsidR="00C0134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C0134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Instruc</w:t>
            </w:r>
            <w:r w:rsidR="00C0134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iunile de debitare direct</w:t>
            </w:r>
            <w:r w:rsidR="00C01347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emise de BRM.</w:t>
            </w:r>
          </w:p>
          <w:p w14:paraId="498029A7" w14:textId="525DF850" w:rsidR="00FB0DAE" w:rsidRPr="007A4C72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Nota de decontare zilnic</w:t>
            </w:r>
            <w:r w:rsidR="00C01347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– raport emis de BRM pentru Participant, conform prevederilor prezentului Acord.</w:t>
            </w:r>
          </w:p>
          <w:p w14:paraId="54CAD4CB" w14:textId="4C9F560A" w:rsidR="00FB0DAE" w:rsidRPr="007A4C72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Num</w:t>
            </w:r>
            <w:r w:rsidR="00C01347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r unic de </w:t>
            </w:r>
            <w:r w:rsidR="00C01347"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nregistrare al mandatului (UMR) 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– identificator unic al mandatului la nivel interbancar.</w:t>
            </w:r>
          </w:p>
          <w:p w14:paraId="04524385" w14:textId="52763C8D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Punct virtual de tranzac</w:t>
            </w:r>
            <w:r w:rsidR="00C01347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ionare (PVT)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– punct abstract, unic la nivelul Sistemului na</w:t>
            </w:r>
            <w:r w:rsidR="00C01347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ional de transport, </w:t>
            </w:r>
            <w:r w:rsidR="00C01347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ntre punctele de intrare </w:t>
            </w:r>
            <w:r w:rsidR="00C01347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Sistemul na</w:t>
            </w:r>
            <w:r w:rsidR="00C01347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ional de transport </w:t>
            </w:r>
            <w:r w:rsidR="00C01347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cele de ie</w:t>
            </w:r>
            <w:r w:rsidR="00C01347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ire din Sistemul na</w:t>
            </w:r>
            <w:r w:rsidR="00C01347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ional de transport, </w:t>
            </w:r>
            <w:r w:rsidR="00C01347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care este permis transferul dreptului de proprietate asupra gazelor naturale de la un participant c</w:t>
            </w:r>
            <w:r w:rsidR="00C01347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tre alt participant de pe pia</w:t>
            </w:r>
            <w:r w:rsidR="00C01347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a gazelor naturale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.</w:t>
            </w:r>
          </w:p>
          <w:p w14:paraId="62F4FBA3" w14:textId="5D2F0DCB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lastRenderedPageBreak/>
              <w:t>Sesiune/sedin</w:t>
            </w:r>
            <w:r w:rsidR="00C01347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ță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de tranzacţionare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- program de derulare a procesului de tranzacţionare în care se pot introduce, modifica, anula sau suspenda oferte de vânzare şi /sau de cumpărare</w:t>
            </w:r>
            <w:r w:rsidR="00C340F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şi se pot încheia tranzacţii, dacă sunt îndeplinite condiţiile de corelare Piața produselor pe termen scurt administrată de BRM funcționează 24 de ore/zi, 7 zile pe săptămână;</w:t>
            </w:r>
          </w:p>
          <w:p w14:paraId="6B669080" w14:textId="5F78F473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Scrisoare de Garan</w:t>
            </w:r>
            <w:r w:rsidR="00C340FC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ie Bancar</w:t>
            </w:r>
            <w:r w:rsidR="00C340FC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(SGB)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– instrumentul financiar prin care se constituie o garan</w:t>
            </w:r>
            <w:r w:rsidR="00C340F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ți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e de plat</w:t>
            </w:r>
            <w:r w:rsidR="00C340F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C340F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favoarea BRM de c</w:t>
            </w:r>
            <w:r w:rsidR="00C340F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tre Participant, conform prevederilor acestui Acord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. </w:t>
            </w:r>
          </w:p>
          <w:p w14:paraId="58C27B1B" w14:textId="470CBCA7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Schema de debitare direct</w:t>
            </w:r>
            <w:r w:rsidR="00C340FC" w:rsidRPr="007A4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– s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chema de pl</w:t>
            </w:r>
            <w:r w:rsidR="00C340FC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 xml:space="preserve"> care define</w:t>
            </w:r>
            <w:r w:rsidR="00C340F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 xml:space="preserve">te un set comun de reguli </w:t>
            </w:r>
            <w:r w:rsidR="00C340F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i procese aplicabile opera</w:t>
            </w:r>
            <w:r w:rsidR="00C340F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iunilor de debitare direct</w:t>
            </w:r>
            <w:r w:rsidR="00C340FC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. Schema de debitare direct</w:t>
            </w:r>
            <w:r w:rsidR="00C340F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 xml:space="preserve"> poate fi:</w:t>
            </w:r>
          </w:p>
          <w:p w14:paraId="37F99759" w14:textId="45092952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Schema de debitare direct</w:t>
            </w:r>
            <w:r w:rsidR="00C340FC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Business to Business (SDD B2B) –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schem</w:t>
            </w:r>
            <w:r w:rsidR="00E42C7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debitare direct</w:t>
            </w:r>
            <w:r w:rsidR="00C340F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accesibil</w:t>
            </w:r>
            <w:r w:rsidR="00C340F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doar clien</w:t>
            </w:r>
            <w:r w:rsidR="00C340F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ilor pl</w:t>
            </w:r>
            <w:r w:rsidR="00C340F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titori persoane juridice (</w:t>
            </w:r>
            <w:r w:rsidR="00C340F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conform c</w:t>
            </w:r>
            <w:r w:rsidR="00C340F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reia rambursarea unei IDD nu este permis</w:t>
            </w:r>
            <w:r w:rsidR="00C340F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).</w:t>
            </w:r>
          </w:p>
          <w:p w14:paraId="7D2FF151" w14:textId="213EC2B7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Schema de debitare direct</w:t>
            </w:r>
            <w:r w:rsidR="00C340FC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CORE (SDD Core) – 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 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schem</w:t>
            </w:r>
            <w:r w:rsidR="002D226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accesibil</w:t>
            </w:r>
            <w:r w:rsidR="00E42C7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at</w:t>
            </w:r>
            <w:r w:rsidR="002D226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 pl</w:t>
            </w:r>
            <w:r w:rsidR="002D226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titorilor persoane fizice c</w:t>
            </w:r>
            <w:r w:rsidR="002D226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 </w:t>
            </w:r>
            <w:r w:rsidR="002D226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pl</w:t>
            </w:r>
            <w:r w:rsidR="002D226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titorilor persoane juridice.</w:t>
            </w:r>
          </w:p>
          <w:p w14:paraId="3349B546" w14:textId="1619DF32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Zi de livrare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– ziua calendaristic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pentru care a fost 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ncheiat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o tranzac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ie.</w:t>
            </w:r>
          </w:p>
          <w:p w14:paraId="2DBC1A38" w14:textId="759DEE90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Zi de tranzac</w:t>
            </w:r>
            <w:r w:rsidR="008C481A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ionare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 – orice zi calendaristic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care este ini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iat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o sedin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de tranzac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ionare, conform programului de tranzac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ionare stabilit prin Procedura de organizare și funcționare a pieţei produselor standardizate pe termen scurt (Ziua D).</w:t>
            </w:r>
          </w:p>
          <w:p w14:paraId="24469D61" w14:textId="4581A171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ro-RO"/>
              </w:rPr>
              <w:t>Zi lucr</w:t>
            </w:r>
            <w:r w:rsidR="008C481A" w:rsidRPr="00C2039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ro-RO"/>
              </w:rPr>
              <w:t>toare</w:t>
            </w:r>
            <w:r w:rsidRPr="00C2039B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– zi calendaristic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, cu excep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ia s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mbetei, duminicii 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a oric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rei zile declarat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s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rb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toare legal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Rom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nia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.</w:t>
            </w:r>
          </w:p>
          <w:p w14:paraId="44104D35" w14:textId="407225FD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ro-RO"/>
              </w:rPr>
              <w:t>Zi nelucr</w:t>
            </w:r>
            <w:r w:rsidR="008C481A" w:rsidRPr="00C2039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ro-RO"/>
              </w:rPr>
              <w:t>toare</w:t>
            </w:r>
            <w:r w:rsidRPr="00C2039B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– zi de s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mb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, de duminic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oricare zi declarat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s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rb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toare legal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Rom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nia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.</w:t>
            </w:r>
          </w:p>
          <w:p w14:paraId="406EC238" w14:textId="7DE72DA7" w:rsidR="00FB0DAE" w:rsidRPr="00C2039B" w:rsidRDefault="00FB0DAE" w:rsidP="00FB0DAE">
            <w:pPr>
              <w:numPr>
                <w:ilvl w:val="1"/>
                <w:numId w:val="0"/>
              </w:numPr>
              <w:tabs>
                <w:tab w:val="num" w:pos="432"/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ind w:left="432" w:hanging="43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Ziua D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–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zi calendaristic</w:t>
            </w:r>
            <w:r w:rsidR="008C481A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.</w:t>
            </w:r>
          </w:p>
          <w:p w14:paraId="741DC19F" w14:textId="77777777" w:rsidR="00FB0DAE" w:rsidRPr="00C2039B" w:rsidRDefault="00FB0DAE" w:rsidP="00FB0DAE">
            <w:pPr>
              <w:tabs>
                <w:tab w:val="num" w:pos="972"/>
              </w:tabs>
              <w:autoSpaceDE w:val="0"/>
              <w:autoSpaceDN w:val="0"/>
              <w:adjustRightInd w:val="0"/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FB0DAE" w:rsidRPr="007A4C72" w14:paraId="74F30610" w14:textId="77777777" w:rsidTr="002B3D86">
        <w:trPr>
          <w:jc w:val="center"/>
        </w:trPr>
        <w:tc>
          <w:tcPr>
            <w:tcW w:w="10115" w:type="dxa"/>
            <w:gridSpan w:val="2"/>
          </w:tcPr>
          <w:p w14:paraId="0EDDFB01" w14:textId="7311AB0A" w:rsidR="00FB0DAE" w:rsidRPr="00C2039B" w:rsidRDefault="00FB0DAE" w:rsidP="00FB0DAE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Termeni privind apartenen</w:t>
            </w:r>
            <w:r w:rsidR="008C481A" w:rsidRPr="00C203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 ca Participant la Pia</w:t>
            </w:r>
            <w:r w:rsidR="008C481A" w:rsidRPr="00C203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C203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produselor pe termen scurt  </w:t>
            </w:r>
          </w:p>
        </w:tc>
      </w:tr>
      <w:tr w:rsidR="00FB0DAE" w:rsidRPr="007A4C72" w14:paraId="6104A82A" w14:textId="77777777" w:rsidTr="002B3D86">
        <w:trPr>
          <w:jc w:val="center"/>
        </w:trPr>
        <w:tc>
          <w:tcPr>
            <w:tcW w:w="10115" w:type="dxa"/>
            <w:gridSpan w:val="2"/>
          </w:tcPr>
          <w:p w14:paraId="2A3C9690" w14:textId="33CCF305" w:rsidR="00FB0DAE" w:rsidRPr="00C2039B" w:rsidRDefault="00FB0DAE" w:rsidP="00FB0DAE">
            <w:pPr>
              <w:widowControl w:val="0"/>
              <w:numPr>
                <w:ilvl w:val="1"/>
                <w:numId w:val="2"/>
              </w:numPr>
              <w:tabs>
                <w:tab w:val="num" w:pos="844"/>
                <w:tab w:val="left" w:leader="dot" w:pos="4721"/>
              </w:tabs>
              <w:spacing w:after="200" w:line="276" w:lineRule="auto"/>
              <w:ind w:left="844" w:hanging="8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Participantul la </w:t>
            </w:r>
            <w:r w:rsidRPr="00C203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Pia</w:t>
            </w:r>
            <w:r w:rsidR="008C481A" w:rsidRPr="00C203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C2039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produselor pe termen scurt </w:t>
            </w:r>
            <w:r w:rsidRPr="00C2039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declar</w:t>
            </w:r>
            <w:r w:rsidR="008C481A" w:rsidRPr="00C2039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prin prezentul c</w:t>
            </w:r>
            <w:r w:rsidR="008C481A" w:rsidRPr="00C2039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:</w:t>
            </w:r>
          </w:p>
          <w:p w14:paraId="7168EACD" w14:textId="3C2F9DED" w:rsidR="00FB0DAE" w:rsidRPr="00C2039B" w:rsidRDefault="00FB0DAE" w:rsidP="008C481A">
            <w:pPr>
              <w:widowControl w:val="0"/>
              <w:numPr>
                <w:ilvl w:val="0"/>
                <w:numId w:val="4"/>
              </w:numPr>
              <w:tabs>
                <w:tab w:val="left" w:leader="dot" w:pos="4721"/>
              </w:tabs>
              <w:spacing w:after="200" w:line="276" w:lineRule="auto"/>
              <w:ind w:left="452" w:hanging="4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8C481A" w:rsidRPr="00C2039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ncheiat </w:t>
            </w:r>
            <w:r w:rsidRPr="007A4C7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un contract de echilibrare și acces la PVT cu SNTGN Transgaz la data</w:t>
            </w:r>
            <w:r w:rsidRPr="00C2039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...............................................</w:t>
            </w:r>
          </w:p>
        </w:tc>
      </w:tr>
      <w:tr w:rsidR="00FB0DAE" w:rsidRPr="007A4C72" w14:paraId="3711A6E6" w14:textId="77777777" w:rsidTr="002B3D8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092" w:type="dxa"/>
            <w:gridSpan w:val="2"/>
          </w:tcPr>
          <w:p w14:paraId="0AB45077" w14:textId="5A193FB9" w:rsidR="00FB0DAE" w:rsidRPr="007A4C72" w:rsidRDefault="00FB0DAE" w:rsidP="005526E3">
            <w:pPr>
              <w:spacing w:after="0" w:line="276" w:lineRule="auto"/>
              <w:ind w:left="4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ile convin ca, 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 baza prezentului Acord, BRM va furniza servicii de compensare 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 calitate de contraparte fa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ță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Participant, 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 condi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iile prev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zute 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 </w:t>
            </w:r>
            <w:r w:rsidRPr="007A4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Regulamentul privind cadrul organizat de tranzac</w:t>
            </w:r>
            <w:r w:rsidR="008C481A" w:rsidRPr="007A4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ionare pe piețele centralizate de gaze naturale administrate de societatea Bursa Română de Mărfuri (Romanian Commodities Exchange) S.A.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 </w:t>
            </w:r>
            <w:r w:rsidRPr="007A4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Procedura de organizare </w:t>
            </w:r>
            <w:r w:rsidR="008C481A" w:rsidRPr="007A4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ș</w:t>
            </w:r>
            <w:r w:rsidRPr="007A4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i funcționare a pieței pentru tranzacţionarea gazelor naturale pe termen scurt administrată de societatea Bursa Română de Mărfuri (Romanian Commodities Exchange) S.A.. </w:t>
            </w:r>
          </w:p>
          <w:p w14:paraId="427FACB6" w14:textId="694972B6" w:rsidR="00FB0DAE" w:rsidRPr="007A4C72" w:rsidRDefault="00FB0DAE" w:rsidP="008C481A">
            <w:pPr>
              <w:spacing w:after="0" w:line="276" w:lineRule="auto"/>
              <w:ind w:left="427" w:hanging="45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2.2.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Participantul la Pia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produselor pe termen scurt se angajeaz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va respecta obliga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iile specificate 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 </w:t>
            </w:r>
            <w:r w:rsidRPr="007A4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Regulamentul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procedurile asociate acestei pie</w:t>
            </w:r>
            <w:r w:rsidR="008C481A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e.</w:t>
            </w:r>
          </w:p>
        </w:tc>
      </w:tr>
      <w:tr w:rsidR="00FB0DAE" w:rsidRPr="00C2039B" w14:paraId="5D7CAD07" w14:textId="77777777" w:rsidTr="002B3D86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  <w:jc w:val="center"/>
        </w:trPr>
        <w:tc>
          <w:tcPr>
            <w:tcW w:w="10045" w:type="dxa"/>
            <w:vAlign w:val="center"/>
          </w:tcPr>
          <w:p w14:paraId="3B3C84CB" w14:textId="3D7DBA72" w:rsidR="00FB0DAE" w:rsidRPr="00C2039B" w:rsidRDefault="00FB0DAE" w:rsidP="008C481A">
            <w:pPr>
              <w:widowControl w:val="0"/>
              <w:tabs>
                <w:tab w:val="left" w:pos="814"/>
              </w:tabs>
              <w:spacing w:after="20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lastRenderedPageBreak/>
              <w:t>2.3.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Compensarea se face de c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tre BRM, 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calitate de contraparte. Orice fel de obliga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legate de regimul vamal sau fiscal al gazelor naturale vor c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dea exclusiv 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sarcina Participantului 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nu vor fi achitate prin mecanismul de compensare prev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zut 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prezentul Acord, iar BRM nu va avea nicio r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spundere sau obliga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ie 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acest sens. Participan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 vor informa BRM 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m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sura 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exist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proceduri vamale necesare pentru livrarea gazelor naturale pe care inten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ioneaz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le tranzac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ioneze, 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nainte de </w:t>
            </w:r>
            <w:r w:rsidR="005526E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ncheierea Zilei D-1.</w:t>
            </w:r>
          </w:p>
          <w:p w14:paraId="1BBF4547" w14:textId="0EE9F3C6" w:rsidR="00FB0DAE" w:rsidRPr="00C2039B" w:rsidRDefault="00FB0DAE" w:rsidP="008C481A">
            <w:pPr>
              <w:widowControl w:val="0"/>
              <w:tabs>
                <w:tab w:val="left" w:pos="814"/>
              </w:tabs>
              <w:spacing w:after="20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2.4.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Pentru serviciile furnizate 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baza prezentului Acord, Participantul va pl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 contravaloarea comisionului stabilit de c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BRM din cuantumul tranzac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efectuate.Valoarea comisionului se public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pe site-ul BRM </w:t>
            </w:r>
            <w:r w:rsidR="00C52980" w:rsidRPr="00C52980">
              <w:t>https://www.brm.ro/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 BRM are dreptul s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modifice valoarea comisionului, prin publicarea noii valori pe site-ul BRM și prin notificarea scrisă, a tuturor participanților cu care a încheiat acord cadru pentru prestarea serviciilor de contraparte, cu 30 de zile calendaristice înainte de aplicarea noii valori a comisionului modificat. Ini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ierea de tranzac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reprezintă acordul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Participantului cu privire la noua valoare a comisionului, publicat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anterior deschiderii zilei de tranzac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ionare.</w:t>
            </w:r>
          </w:p>
          <w:p w14:paraId="13D16CFE" w14:textId="0D760578" w:rsidR="00FB0DAE" w:rsidRPr="00C2039B" w:rsidRDefault="00FB0DAE" w:rsidP="005526E3">
            <w:pPr>
              <w:widowControl w:val="0"/>
              <w:tabs>
                <w:tab w:val="left" w:pos="814"/>
              </w:tabs>
              <w:spacing w:after="20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2.5.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Participantul care nu 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ndepline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 obliga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iile ce 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incumb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ca participant pe pia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gazelor naturale (inclusiv cele aferente unei sesiuni de tranzac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ionare) r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ne pe deplin r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spunzator pentru orice prejudiciu creat, urm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nd a garanta 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desp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gubi integral BRM pentru orice preten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ale oric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ror ter</w:t>
            </w:r>
            <w:r w:rsidR="008D5D8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i.</w:t>
            </w:r>
          </w:p>
          <w:p w14:paraId="644F0897" w14:textId="6312898E" w:rsidR="00FB0DAE" w:rsidRPr="00C2039B" w:rsidRDefault="00FB0DAE" w:rsidP="00FB0DAE">
            <w:pPr>
              <w:widowControl w:val="0"/>
              <w:numPr>
                <w:ilvl w:val="0"/>
                <w:numId w:val="2"/>
              </w:numPr>
              <w:tabs>
                <w:tab w:val="left" w:pos="814"/>
                <w:tab w:val="left" w:pos="4678"/>
              </w:tabs>
              <w:spacing w:after="200" w:line="276" w:lineRule="auto"/>
              <w:ind w:left="814" w:hanging="814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Obliga</w:t>
            </w:r>
            <w:r w:rsidR="008D5D86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iile Participantului la Pia</w:t>
            </w:r>
            <w:r w:rsidR="008D5D86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a produselor pe termen scurt. Mecanisme aplicabile </w:t>
            </w:r>
          </w:p>
          <w:p w14:paraId="47096B29" w14:textId="3985B977" w:rsidR="00FB0DAE" w:rsidRPr="00C2039B" w:rsidRDefault="00FB0DAE" w:rsidP="00FB0DAE">
            <w:pPr>
              <w:widowControl w:val="0"/>
              <w:tabs>
                <w:tab w:val="left" w:pos="814"/>
                <w:tab w:val="left" w:pos="4678"/>
              </w:tabs>
              <w:spacing w:after="200" w:line="276" w:lineRule="auto"/>
              <w:ind w:left="814" w:hanging="814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Plata tranzac</w:t>
            </w:r>
            <w:r w:rsidR="008D5D86"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iilor</w:t>
            </w:r>
          </w:p>
          <w:p w14:paraId="4F60E9B9" w14:textId="61833590" w:rsidR="00FB0DAE" w:rsidRPr="00C2039B" w:rsidRDefault="00494F6D" w:rsidP="00494F6D">
            <w:pPr>
              <w:widowControl w:val="0"/>
              <w:numPr>
                <w:ilvl w:val="1"/>
                <w:numId w:val="2"/>
              </w:numPr>
              <w:tabs>
                <w:tab w:val="clear" w:pos="432"/>
                <w:tab w:val="left" w:pos="427"/>
              </w:tabs>
              <w:spacing w:after="200" w:line="276" w:lineRule="auto"/>
              <w:ind w:left="337" w:hanging="33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08257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articipantul la Pia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produselor pe termen scurt</w:t>
            </w:r>
            <w:r w:rsidR="00FB0DAE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va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ncheia un Mandat de debitare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beneficiul BRM care reprezint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baza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banca Participantului</w:t>
            </w:r>
            <w:r w:rsidR="00FB0DAE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, 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n calitate de Institu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ie plătitoare,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va debita contul curent al Participantului cu suma prevazută în fiecare Instruc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 de debitare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emis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BRM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care va fi pus la dispozi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ia </w:t>
            </w:r>
            <w:r w:rsidR="00FB0DAE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B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ncii de cont central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 cererea acesteia.</w:t>
            </w:r>
          </w:p>
          <w:p w14:paraId="53F33247" w14:textId="57C1A8E0" w:rsidR="00FB0DAE" w:rsidRPr="00C2039B" w:rsidRDefault="00494F6D" w:rsidP="00494F6D">
            <w:pPr>
              <w:widowControl w:val="0"/>
              <w:numPr>
                <w:ilvl w:val="1"/>
                <w:numId w:val="2"/>
              </w:numPr>
              <w:tabs>
                <w:tab w:val="left" w:pos="337"/>
                <w:tab w:val="left" w:pos="4678"/>
              </w:tabs>
              <w:spacing w:after="200" w:line="276" w:lineRule="auto"/>
              <w:ind w:left="337" w:hanging="337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Debitarea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se va realiza pentru sumele datorate ca pre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al tranzac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iilor. Contractul privind debitarea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(CDD)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Mandatul de debitare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vor permite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consultarea soldului contului curent al Participantului</w:t>
            </w:r>
            <w:r w:rsidR="00FB0DAE" w:rsidRPr="00C2039B" w:rsidDel="00FF73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deschis la Banca cont central (BCR) sau la o Institu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titoare care de</w:t>
            </w:r>
            <w:r w:rsidR="00955F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ine un acord de debit direct cu Banca cont central (BCR) </w:t>
            </w:r>
            <w:r w:rsidR="00955F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comunicarea acestui sold c</w:t>
            </w:r>
            <w:r w:rsidR="00955F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tre BRM, </w:t>
            </w:r>
            <w:r w:rsidR="00955F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orice moment.</w:t>
            </w:r>
          </w:p>
          <w:p w14:paraId="33DC9FFE" w14:textId="1379BEDA" w:rsidR="00FB0DAE" w:rsidRPr="007A4C72" w:rsidRDefault="00FB0DAE" w:rsidP="00E82243">
            <w:pPr>
              <w:spacing w:after="0" w:line="240" w:lineRule="auto"/>
              <w:ind w:left="337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Comisioanele bancare aferente pl</w:t>
            </w:r>
            <w:r w:rsidR="00955FA7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ăț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ilor de decontare incluse </w:t>
            </w:r>
            <w:r w:rsidR="00955FA7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 fluxul de debitare direct</w:t>
            </w:r>
            <w:r w:rsidR="00955FA7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 Pia</w:t>
            </w:r>
            <w:r w:rsidR="00955FA7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 produselor standardizate pe termen scurt revin </w:t>
            </w:r>
            <w:r w:rsidR="00955FA7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 sarcina Participantului. 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Facturarea acestor comisioane se va efectua lunar de c</w:t>
            </w:r>
            <w:r w:rsidR="00955FA7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tre BRM, </w:t>
            </w:r>
            <w:r w:rsidR="00955FA7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 baza informa</w:t>
            </w:r>
            <w:r w:rsidR="00955FA7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iilor furnizate de c</w:t>
            </w:r>
            <w:r w:rsidR="00955FA7"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tre Banca de Cont Central. </w:t>
            </w:r>
            <w:bookmarkStart w:id="1" w:name="_Hlk52529369"/>
            <w:r w:rsidRPr="007A4C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Anexat la factura se va explicita modul de calcul /percepere a comisioanelor.</w:t>
            </w:r>
            <w:bookmarkEnd w:id="1"/>
          </w:p>
          <w:p w14:paraId="31F290B7" w14:textId="409B71DC" w:rsidR="00FB0DAE" w:rsidRPr="00C2039B" w:rsidRDefault="00FB0DAE" w:rsidP="00FB0DAE">
            <w:pPr>
              <w:widowControl w:val="0"/>
              <w:tabs>
                <w:tab w:val="left" w:pos="814"/>
                <w:tab w:val="left" w:pos="4678"/>
              </w:tabs>
              <w:spacing w:after="200" w:line="276" w:lineRule="auto"/>
              <w:ind w:left="814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  <w:p w14:paraId="266BD566" w14:textId="77777777" w:rsidR="00955FA7" w:rsidRPr="00C2039B" w:rsidRDefault="00955FA7" w:rsidP="00FB0DAE">
            <w:pPr>
              <w:widowControl w:val="0"/>
              <w:tabs>
                <w:tab w:val="left" w:pos="814"/>
                <w:tab w:val="left" w:pos="4678"/>
              </w:tabs>
              <w:spacing w:after="200" w:line="276" w:lineRule="auto"/>
              <w:ind w:left="814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  <w:p w14:paraId="41A69439" w14:textId="0D5E1F7B" w:rsidR="00FB0DAE" w:rsidRPr="00C2039B" w:rsidRDefault="00FB0DAE" w:rsidP="00FB0DAE">
            <w:pPr>
              <w:widowControl w:val="0"/>
              <w:tabs>
                <w:tab w:val="left" w:pos="814"/>
                <w:tab w:val="left" w:pos="4678"/>
              </w:tabs>
              <w:spacing w:after="200" w:line="276" w:lineRule="auto"/>
              <w:ind w:left="814" w:hanging="814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Garantarea pl</w:t>
            </w:r>
            <w:r w:rsidR="00FB5AB0"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ăț</w:t>
            </w:r>
            <w:r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ii tranzac</w:t>
            </w:r>
            <w:r w:rsidR="00FB5AB0"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iilor</w:t>
            </w:r>
          </w:p>
          <w:p w14:paraId="2E911D15" w14:textId="3FBAC541" w:rsidR="00FB0DAE" w:rsidRPr="00C2039B" w:rsidRDefault="00D574F1" w:rsidP="00FB0DAE">
            <w:pPr>
              <w:widowControl w:val="0"/>
              <w:numPr>
                <w:ilvl w:val="1"/>
                <w:numId w:val="2"/>
              </w:numPr>
              <w:tabs>
                <w:tab w:val="left" w:pos="814"/>
                <w:tab w:val="left" w:pos="4678"/>
              </w:tabs>
              <w:spacing w:after="200" w:line="276" w:lineRule="auto"/>
              <w:ind w:left="814" w:hanging="8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scopul garant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pl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tranzac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iilor, Participantul la Pia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a produselor pe termen scurt:  </w:t>
            </w:r>
          </w:p>
          <w:p w14:paraId="10158852" w14:textId="406CB5A5" w:rsidR="00FB0DAE" w:rsidRPr="00C2039B" w:rsidRDefault="00FB0DAE" w:rsidP="00FB0DAE">
            <w:pPr>
              <w:widowControl w:val="0"/>
              <w:numPr>
                <w:ilvl w:val="0"/>
                <w:numId w:val="3"/>
              </w:numPr>
              <w:tabs>
                <w:tab w:val="left" w:pos="1381"/>
              </w:tabs>
              <w:spacing w:before="240" w:after="200" w:line="276" w:lineRule="auto"/>
              <w:ind w:left="1381" w:hanging="567"/>
              <w:jc w:val="both"/>
              <w:outlineLvl w:val="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 furniza o Scrisoare de Garan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 Bancar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(SGB) 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favoarea BRM emis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Banca de cont central sau de o alt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banc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comercial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autorizat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Rom</w:t>
            </w:r>
            <w:r w:rsidR="00150FE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nia 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acceptat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c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tre BRM </w:t>
            </w:r>
            <w:r w:rsidR="008107C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și/sau</w:t>
            </w:r>
          </w:p>
          <w:p w14:paraId="251B7587" w14:textId="0115564A" w:rsidR="00FB0DAE" w:rsidRPr="00C2039B" w:rsidRDefault="00FB0DAE" w:rsidP="00FB0DAE">
            <w:pPr>
              <w:widowControl w:val="0"/>
              <w:numPr>
                <w:ilvl w:val="0"/>
                <w:numId w:val="3"/>
              </w:numPr>
              <w:tabs>
                <w:tab w:val="left" w:pos="1381"/>
              </w:tabs>
              <w:spacing w:before="240" w:after="200" w:line="276" w:lineRule="auto"/>
              <w:ind w:left="1381" w:hanging="567"/>
              <w:jc w:val="both"/>
              <w:outlineLvl w:val="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va deschide un Cont escrow 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favoarea BRM la Banca de cont central sau la o alta banc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comercial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autorizat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Rom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nia 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acceptat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c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tre BRM, care se va constitui ca Agent Escrow 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i/sau </w:t>
            </w:r>
          </w:p>
          <w:p w14:paraId="29787750" w14:textId="02E69394" w:rsidR="00FB0DAE" w:rsidRPr="00C2039B" w:rsidRDefault="00FB0DAE" w:rsidP="00FB0DAE">
            <w:pPr>
              <w:widowControl w:val="0"/>
              <w:numPr>
                <w:ilvl w:val="0"/>
                <w:numId w:val="3"/>
              </w:numPr>
              <w:tabs>
                <w:tab w:val="left" w:pos="1381"/>
              </w:tabs>
              <w:spacing w:before="240" w:after="200" w:line="276" w:lineRule="auto"/>
              <w:ind w:left="1381" w:hanging="567"/>
              <w:jc w:val="both"/>
              <w:outlineLvl w:val="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va </w:t>
            </w:r>
            <w:r w:rsidR="008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putea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oferi alte garan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agreate de către părți.</w:t>
            </w:r>
          </w:p>
          <w:p w14:paraId="0D86058B" w14:textId="1A829756" w:rsidR="00FB0DAE" w:rsidRPr="00C2039B" w:rsidRDefault="00FB0DAE" w:rsidP="00E82243">
            <w:pPr>
              <w:widowControl w:val="0"/>
              <w:numPr>
                <w:ilvl w:val="1"/>
                <w:numId w:val="2"/>
              </w:numPr>
              <w:tabs>
                <w:tab w:val="left" w:pos="4678"/>
              </w:tabs>
              <w:spacing w:before="240" w:after="200" w:line="276" w:lineRule="auto"/>
              <w:ind w:left="337" w:hanging="360"/>
              <w:jc w:val="both"/>
              <w:outlineLvl w:val="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Pragul valoric maxim 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limita c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ruia Participantul-cump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 are dreptul s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tranzac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ioneze pe Pia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produselor pe termen scurt este determinat dup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formula Limita = SGB + Contul escrow + alte garan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ii, 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nteleg</w:t>
            </w:r>
            <w:r w:rsidR="004340A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 c</w:t>
            </w:r>
            <w:r w:rsidR="00F44EA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:</w:t>
            </w:r>
          </w:p>
          <w:p w14:paraId="698F51ED" w14:textId="1EB330A0" w:rsidR="00FB0DAE" w:rsidRPr="00C2039B" w:rsidRDefault="00FB0DAE" w:rsidP="00FB0DAE">
            <w:pPr>
              <w:widowControl w:val="0"/>
              <w:numPr>
                <w:ilvl w:val="0"/>
                <w:numId w:val="8"/>
              </w:numPr>
              <w:tabs>
                <w:tab w:val="left" w:pos="1381"/>
              </w:tabs>
              <w:spacing w:before="240" w:after="200" w:line="276" w:lineRule="auto"/>
              <w:ind w:left="1425" w:hanging="633"/>
              <w:jc w:val="both"/>
              <w:outlineLvl w:val="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valoarea SGB va fi reprezentat</w:t>
            </w:r>
            <w:r w:rsidR="00F44EA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disponibilul (suma neblocat</w:t>
            </w:r>
            <w:r w:rsidR="00F44EA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) aferent</w:t>
            </w:r>
            <w:r w:rsidR="00F44EA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-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unei SGB </w:t>
            </w:r>
            <w:r w:rsidR="00F44EA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vigoare la momentul Deschiderii zilei de tranzac</w:t>
            </w:r>
            <w:r w:rsidR="00F44EA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 D</w:t>
            </w:r>
            <w:r w:rsidR="00E8224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</w:p>
          <w:p w14:paraId="3A46E649" w14:textId="20D7B101" w:rsidR="00FB0DAE" w:rsidRPr="00C2039B" w:rsidRDefault="00FB0DAE" w:rsidP="00FB0DAE">
            <w:pPr>
              <w:widowControl w:val="0"/>
              <w:numPr>
                <w:ilvl w:val="0"/>
                <w:numId w:val="8"/>
              </w:numPr>
              <w:tabs>
                <w:tab w:val="left" w:pos="1381"/>
              </w:tabs>
              <w:spacing w:before="240" w:after="200" w:line="276" w:lineRule="auto"/>
              <w:ind w:left="1381" w:hanging="567"/>
              <w:jc w:val="both"/>
              <w:outlineLvl w:val="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valoarea Contului Escrow va fi reprezentat</w:t>
            </w:r>
            <w:r w:rsidR="00F44EA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soldul creditor al contului ESCROW la momentul Deschiderii zilei de tranzac</w:t>
            </w:r>
            <w:r w:rsidR="00E8224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 D.</w:t>
            </w:r>
          </w:p>
          <w:p w14:paraId="4CFD5BA8" w14:textId="6AE8019C" w:rsidR="00FB0DAE" w:rsidRPr="00C2039B" w:rsidRDefault="00FB0DAE" w:rsidP="00FB0DAE">
            <w:pPr>
              <w:widowControl w:val="0"/>
              <w:numPr>
                <w:ilvl w:val="0"/>
                <w:numId w:val="8"/>
              </w:numPr>
              <w:tabs>
                <w:tab w:val="left" w:pos="1381"/>
              </w:tabs>
              <w:spacing w:before="240" w:after="200" w:line="276" w:lineRule="auto"/>
              <w:ind w:left="1381" w:hanging="567"/>
              <w:jc w:val="both"/>
              <w:outlineLvl w:val="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valoarea altor garan</w:t>
            </w:r>
            <w:r w:rsidR="00E8224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va fi reprezentat</w:t>
            </w:r>
            <w:r w:rsidR="00E8224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valoarea constituit</w:t>
            </w:r>
            <w:r w:rsidR="00E8224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acestora la momentul Deschiderii zilei de tranzac</w:t>
            </w:r>
            <w:r w:rsidR="00E8224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 D.</w:t>
            </w:r>
          </w:p>
          <w:p w14:paraId="2EB20D68" w14:textId="0528B755" w:rsidR="00FB0DAE" w:rsidRPr="00C2039B" w:rsidRDefault="00E82243" w:rsidP="00E82243">
            <w:pPr>
              <w:widowControl w:val="0"/>
              <w:numPr>
                <w:ilvl w:val="1"/>
                <w:numId w:val="2"/>
              </w:numPr>
              <w:tabs>
                <w:tab w:val="left" w:pos="4678"/>
              </w:tabs>
              <w:spacing w:after="200" w:line="276" w:lineRule="auto"/>
              <w:ind w:left="337" w:hanging="24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Limita de tranzac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 va fi aplicabil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fiecare Zi de tranzac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 pentru ordinele de cump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rare ale Participantului. BRM va avea dreptul s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solicite garan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 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s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stabileasc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Limita de tranzac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ionare 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pentru ordinele de v</w:t>
            </w:r>
            <w:r w:rsidR="009B1A3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nzare ale Participantului.</w:t>
            </w:r>
          </w:p>
          <w:p w14:paraId="7FB90C4B" w14:textId="3B612E83" w:rsidR="00FB0DAE" w:rsidRPr="00C2039B" w:rsidRDefault="00E82243" w:rsidP="00E82243">
            <w:pPr>
              <w:widowControl w:val="0"/>
              <w:numPr>
                <w:ilvl w:val="1"/>
                <w:numId w:val="2"/>
              </w:numPr>
              <w:tabs>
                <w:tab w:val="left" w:pos="4678"/>
              </w:tabs>
              <w:spacing w:after="200" w:line="276" w:lineRule="auto"/>
              <w:ind w:left="337" w:hanging="33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SGB se va constitui, pe cheltuiala exclusiv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Participantului, ca un angajament care se execut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prima 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simpla cerere a BRM. SGB va avea o perioad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valabilitate de minimum </w:t>
            </w:r>
            <w:r w:rsidR="00265B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15 zile </w:t>
            </w:r>
            <w:r w:rsidR="00E208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în orice moment în care aceasta este </w:t>
            </w:r>
            <w:r w:rsidR="00F70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luată în considerare în calculul Limitei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 Participantul va furniza BRM dovada emiterii unei noi SGB, sau, dup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caz, a extinderii perioadei de valabilitate a SGB existente cu cel pu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 5 zile</w:t>
            </w:r>
            <w:r w:rsidR="00AF3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nainte de data expir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fiec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rei perioade de valabilitate, sub sanc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iunea nelu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rii 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considerare a SGB 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calculul Limitei. SGB se va constitui 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forma </w:t>
            </w:r>
            <w:r w:rsidR="00E208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agreată de către BRM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va permite executarea de c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BRM pentru acoperirea tuturor sumelor datorate conform prezentului Acord, incluz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 sumele datorate ca pre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al tranzac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iilor, comisionul datorat BRM pentru serviciile furnizate conform prezentului Acord 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eventualele penalit</w:t>
            </w:r>
            <w:r w:rsidR="00280D5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i. </w:t>
            </w:r>
          </w:p>
          <w:p w14:paraId="79199E51" w14:textId="69715136" w:rsidR="00FB0DAE" w:rsidRPr="00C2039B" w:rsidRDefault="00280D5C" w:rsidP="00280D5C">
            <w:pPr>
              <w:widowControl w:val="0"/>
              <w:numPr>
                <w:ilvl w:val="1"/>
                <w:numId w:val="2"/>
              </w:numPr>
              <w:tabs>
                <w:tab w:val="clear" w:pos="432"/>
                <w:tab w:val="left" w:pos="427"/>
                <w:tab w:val="left" w:pos="4678"/>
              </w:tabs>
              <w:spacing w:after="200" w:line="276" w:lineRule="auto"/>
              <w:ind w:left="337" w:hanging="33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Contul Escrow se va constitui prin semnarea unui contract de escrow 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depunerea 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Contul escrow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a unei sume de bani. Contractul escrow va permite Agentului Escrow s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vireze BRM orice sume necesare pentru acoperirea tuturor debitelor Participantului conform prezentului Acord, incluz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 sumele datorate ca pre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al tranzac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iilor, comisionul datorat BRM pentru serviciile furnizate conform prezentului Acord 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eventualele penalit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i. Agentul Escrow nu va avea nicio liberate de apreciere asupra temeiniciei cererii BRM, urm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 a elibera sumele solicitate de c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BRM la simpla cerere a acesteia.</w:t>
            </w:r>
          </w:p>
          <w:p w14:paraId="66DB7A0A" w14:textId="2DF6B6C0" w:rsidR="00FB0DAE" w:rsidRPr="00C2039B" w:rsidRDefault="00C50A36" w:rsidP="00C50A36">
            <w:pPr>
              <w:widowControl w:val="0"/>
              <w:numPr>
                <w:ilvl w:val="1"/>
                <w:numId w:val="2"/>
              </w:numPr>
              <w:tabs>
                <w:tab w:val="clear" w:pos="432"/>
                <w:tab w:val="left" w:pos="427"/>
              </w:tabs>
              <w:spacing w:after="200" w:line="276" w:lineRule="auto"/>
              <w:ind w:left="337" w:hanging="33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Participantul este de drept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rziere pentru toate obliga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iile de plat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conform prezentului Acord</w:t>
            </w:r>
            <w:r w:rsidR="00BD7C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  <w:r w:rsidR="00BD7C6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BD7C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În cazul eșecului debitării directe,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executarea garan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se</w:t>
            </w:r>
            <w:r w:rsidR="00BD7C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va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BD7C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după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tiin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are</w:t>
            </w:r>
            <w:r w:rsidR="00BD7C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prealabil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Participantului de 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tre BRM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f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nicio alt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formalitate, cu excep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celor prev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zute expres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prezentul Acord.</w:t>
            </w:r>
            <w:r w:rsidR="00A161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</w:p>
          <w:p w14:paraId="5F555592" w14:textId="6CCDB425" w:rsidR="00C50A36" w:rsidRPr="00C2039B" w:rsidRDefault="00C50A36" w:rsidP="00C50A36">
            <w:pPr>
              <w:widowControl w:val="0"/>
              <w:numPr>
                <w:ilvl w:val="1"/>
                <w:numId w:val="2"/>
              </w:numPr>
              <w:tabs>
                <w:tab w:val="clear" w:pos="432"/>
                <w:tab w:val="left" w:pos="427"/>
              </w:tabs>
              <w:spacing w:after="200" w:line="276" w:lineRule="auto"/>
              <w:ind w:left="337" w:hanging="33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Participantul poate solicita reducerea cuantumului SGB, al Contului Escrow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i/sau al altor garan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ii, justificat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prin volumul anterior al tranzac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sale</w:t>
            </w:r>
            <w:r w:rsidR="006B6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 Reducerea cuantumului SGB se va realiza</w:t>
            </w:r>
            <w:r w:rsidR="006B6CAB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numai cu acordul scris al BRM, care va fi</w:t>
            </w:r>
            <w:r w:rsidR="00FB0DAE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transmis b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ncii emitente a acestor instrumente de garantare.</w:t>
            </w:r>
          </w:p>
          <w:p w14:paraId="67BB4FE5" w14:textId="1FCD96FB" w:rsidR="00FB0DAE" w:rsidRPr="00C2039B" w:rsidRDefault="00FB0DAE" w:rsidP="00C50A36">
            <w:pPr>
              <w:widowControl w:val="0"/>
              <w:numPr>
                <w:ilvl w:val="1"/>
                <w:numId w:val="2"/>
              </w:numPr>
              <w:tabs>
                <w:tab w:val="clear" w:pos="432"/>
                <w:tab w:val="left" w:pos="427"/>
              </w:tabs>
              <w:spacing w:after="200" w:line="276" w:lineRule="auto"/>
              <w:ind w:left="337" w:hanging="33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Algoritmul de tranzac</w:t>
            </w:r>
            <w:r w:rsidR="00381C08"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ionar</w:t>
            </w:r>
            <w:r w:rsidR="00C50A36"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e</w:t>
            </w:r>
            <w:r w:rsidR="00C50A36" w:rsidRPr="007A4C7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:</w:t>
            </w:r>
            <w:r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 xml:space="preserve"> 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cazul Participantului la Pia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produselor pe termen scurt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, 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calitate de cump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tor, algoritmul de tranzac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 prevede urm</w:t>
            </w:r>
            <w:r w:rsidR="00C50A3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toarele etape:</w:t>
            </w:r>
          </w:p>
          <w:p w14:paraId="17F4F376" w14:textId="58BAD93E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Deschiderea zilei de tranzac</w:t>
            </w:r>
            <w:r w:rsidR="00381C0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ionare a produsului Day-ahead pentru ziua D+1 se face </w:t>
            </w:r>
            <w:r w:rsidR="00381C0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ziua D, iar pentru Within-day pentru ziua D se face </w:t>
            </w:r>
            <w:r w:rsidR="00381C0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ziua D prin primirea de c</w:t>
            </w:r>
            <w:r w:rsidR="00381C0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BRM p</w:t>
            </w:r>
            <w:r w:rsidR="00381C0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381C0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orele 09:00 ale zilei D a soldului clientului de la BCR </w:t>
            </w:r>
            <w:r w:rsidR="00381C0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stabilirea Limitei (SGB+Cont Escrow+alte garan</w:t>
            </w:r>
            <w:r w:rsidR="00381C0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ii). </w:t>
            </w:r>
          </w:p>
          <w:p w14:paraId="2B2CC598" w14:textId="73230AE3" w:rsidR="00FB0DAE" w:rsidRPr="00C2039B" w:rsidRDefault="00381C08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cazul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Participantul utilizeaz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ca modalitate de garantare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SGB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perioada ei de valabilitate nu a fost extins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sau nu s-a facut dovada emiterii unei noi SGB cu cel pu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 5 zile lucr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toare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nainte de data expir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perioadei de valabilitate, atunci accesul Participantului la pia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va fi restric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ionat cu 3 zile lucr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toare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nainte de data expir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rii a SGB. 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cazul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Participantul utilizeaz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SGB concomitent cu un Cont Escrow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i/sau alte modalit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de garantare, limita de tranzac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ionare a acestuia se va reduce cu valoarea SGB,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sensul prezentului articol.</w:t>
            </w:r>
          </w:p>
          <w:p w14:paraId="6FA515E2" w14:textId="11B6E2FD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Dac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Limita este negativ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sau zero, Participantul este suspendat de la tranzac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ionare 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prime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te o 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tiin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are pentru completarea marjei. </w:t>
            </w:r>
          </w:p>
          <w:p w14:paraId="2B456BC0" w14:textId="7817BEF9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Dac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Limita este pozitiv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Participantul poate tranzac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iona 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ziua  D, f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dep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Limita.</w:t>
            </w:r>
          </w:p>
          <w:p w14:paraId="214366EA" w14:textId="03AE9550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Dup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nchiderea pie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ei la orele 24:00 ale zilei D, BRM transmite c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Participan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la Pia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a produselor pe termen scurt 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Operatorului de Transport 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Sistem (OTS), 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spe</w:t>
            </w:r>
            <w:r w:rsidR="0057477D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S.N.T.G.N. Transgaz S.A., raportul tranzac</w:t>
            </w:r>
            <w:r w:rsidR="0040557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iilor efectuate cu livrare </w:t>
            </w:r>
            <w:r w:rsidR="0040557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ziua D, respectiv ziua D+1.</w:t>
            </w:r>
          </w:p>
          <w:p w14:paraId="31CFE165" w14:textId="52CA2F9B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P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orele 17:00 ale zilei D+2, OTS trimite la BRM confirmarea 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nregistr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tranzac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iei pentru ziua D, respectiv ziua D+1, 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condi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iile 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conven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ia 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ncheiat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ntre OTS 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BRM va permite aceast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opera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iune.</w:t>
            </w:r>
          </w:p>
          <w:p w14:paraId="0F06B6FC" w14:textId="51EDB166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orele 10:00 ale zilei D+1, BRM transmite notific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rile de Debit Direct DD c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BCR. Contul Participantului cump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 este debitat conform tranzac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efectuate.</w:t>
            </w:r>
          </w:p>
          <w:p w14:paraId="0FA6AC7A" w14:textId="55F0944C" w:rsidR="00FB0DAE" w:rsidRPr="00C2039B" w:rsidRDefault="009A4BA7" w:rsidP="009A4BA7">
            <w:pPr>
              <w:widowControl w:val="0"/>
              <w:numPr>
                <w:ilvl w:val="1"/>
                <w:numId w:val="2"/>
              </w:numPr>
              <w:tabs>
                <w:tab w:val="left" w:pos="607"/>
                <w:tab w:val="left" w:pos="1313"/>
              </w:tabs>
              <w:spacing w:after="200" w:line="276" w:lineRule="auto"/>
              <w:ind w:left="427" w:hanging="42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cazul Participantului </w:t>
            </w:r>
            <w:r w:rsidR="00FB0DAE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Pia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a produselor pe termen scurt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calitate de v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nz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tor, algoritmul de tranzac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 prevede urm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toarele etape:</w:t>
            </w:r>
          </w:p>
          <w:p w14:paraId="08339060" w14:textId="74A0467D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Deschiderea zilei de tranzac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ionare a produsului Day-ahead pentru ziua D+1 se face 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ziua D, iar pentru Within-day pentru ziua D se face 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ziua D prin primirea de c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BRM p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orele 09:00 ale zilei D a soldului clientului de la BCR 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stabilirea Limitei (SGB+Cont Escrow+alte garan</w:t>
            </w:r>
            <w:r w:rsidR="009A4BA7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ii). </w:t>
            </w:r>
          </w:p>
          <w:p w14:paraId="3D36745D" w14:textId="0A1A8DE2" w:rsidR="00FB0DAE" w:rsidRPr="00C2039B" w:rsidRDefault="003A7673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cazul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Participantul utilizeaz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ca modalitate de garantare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SGB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perioada ei de valabilitate nu a fost extins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sau nu s-a facut dovada emiterii unei noi SGB cu cel pu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 5 zile lucr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toare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nainte de data expir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perioadei de valabilitate, atunci accesul Participantului la pia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va fi restric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ionat cu 3 zile lucr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toare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nainte de data expir</w:t>
            </w:r>
            <w:r w:rsidR="00911DC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rii a SGB.  </w:t>
            </w:r>
            <w:r w:rsidR="00911DC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cazul </w:t>
            </w:r>
            <w:r w:rsidR="00911DC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Participantul utilizeaz</w:t>
            </w:r>
            <w:r w:rsidR="00911DC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SGB concomitent cu un Cont Escrow </w:t>
            </w:r>
            <w:r w:rsidR="00911DC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i/sau alte modalit</w:t>
            </w:r>
            <w:r w:rsidR="00911DC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de garantare, limita de tranzac</w:t>
            </w:r>
            <w:r w:rsidR="00911DC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ionare a acestuia se va reduce cu valoarea SGB, </w:t>
            </w:r>
            <w:r w:rsidR="00911DC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sensul prezentului articol.</w:t>
            </w:r>
          </w:p>
          <w:p w14:paraId="6D1AE42E" w14:textId="0985BD21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Dac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Limita este la orice moment negativ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sau zero, Participantul este suspendat de la tranzac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ionare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prime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te o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nstiin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are pentru completarea marjei. </w:t>
            </w:r>
          </w:p>
          <w:p w14:paraId="3BB0B518" w14:textId="3FE42016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Dac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Limita este pozitiv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Participantul poate tranzac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iona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ziua D, f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dep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Limita. Prevederile art. 3.11.1 – 3.11.3 se aplic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doar dac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BRM va solicita garan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va stabili Limita de tranzac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ionare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pentru ordinele de v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nzare ale Participantului.</w:t>
            </w:r>
          </w:p>
          <w:p w14:paraId="05202147" w14:textId="40F8CEE6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Dup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nchiderea pie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ei la orele 24:00 ale zilei D, BRM transmite c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Participan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Operatorul de Transport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Sistem (OTS),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spe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S.N.T.G.N. Transgaz S.A., raportul tranzac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iilor efectuate, cu livrare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ziua D respectiv ziua D+1.</w:t>
            </w:r>
          </w:p>
          <w:p w14:paraId="3CA9662D" w14:textId="5E0959F7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orele 17:00 ale zilei D+2, OTS trimite la BRM confirmarea livr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rilor de gaze pentru ziua D, respectiv ziua D+1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condi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iile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conven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ia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ncheiat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ntre OTS 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BRM va permite aceast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opera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iune.</w:t>
            </w:r>
          </w:p>
          <w:p w14:paraId="49C1ADD4" w14:textId="499F4F05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523"/>
              </w:tabs>
              <w:spacing w:after="200" w:line="276" w:lineRule="auto"/>
              <w:ind w:left="1523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10:00 ale zilei D+1, BRM transmite notific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rile de creditare c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BCR. Contul Participantului v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nz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 este creditat conform tranzac</w:t>
            </w:r>
            <w:r w:rsidR="003362C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efectuate.</w:t>
            </w:r>
          </w:p>
          <w:p w14:paraId="43F01BBB" w14:textId="77777777" w:rsidR="00B5171B" w:rsidRPr="00C2039B" w:rsidRDefault="007001B3" w:rsidP="00B5171B">
            <w:pPr>
              <w:widowControl w:val="0"/>
              <w:numPr>
                <w:ilvl w:val="1"/>
                <w:numId w:val="2"/>
              </w:numPr>
              <w:tabs>
                <w:tab w:val="left" w:pos="337"/>
                <w:tab w:val="left" w:pos="1313"/>
              </w:tabs>
              <w:spacing w:after="200" w:line="276" w:lineRule="auto"/>
              <w:ind w:left="337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Limita maxim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timp pentru achitarea de 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Participantul cump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 prin debit direct a cuantumului obliga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rezultate din tranzac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iile sale este de 2 (dou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) zile bancare, interval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cadrul 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ruia Participantul va trebui 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fac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disponibil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contul 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 curent suma corespunz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 pl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ilor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 xml:space="preserve">cumulate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intervalul men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ionat sau 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solicite anularea Instruc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iunii de debitare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.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 contrar, BRM va notifica Participantul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va trece la executarea garan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concuren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achit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rii sumelor datorate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ziua D+5,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ordinea Cont escrow urmat de executarea Scrisorii de Garan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 Bancar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(SGB).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situa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cuantumul garan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nu acoper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sumele datorate, Participantul va fi exclus de la tranzac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pe o perioad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</w:t>
            </w:r>
            <w:r w:rsidR="00FB0DAE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3-12 luni, dar nu mai devreme de recuperarea tuturor sumelor datorate BRM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 Neacoperirea integral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sumelor datorate BRM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urma execut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garan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determin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aplicarea de penalit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de 0,1%/zi de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rziere,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data recuper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rii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ntregii sume.</w:t>
            </w:r>
          </w:p>
          <w:p w14:paraId="3CBB97EC" w14:textId="77777777" w:rsidR="00B5171B" w:rsidRPr="00C2039B" w:rsidRDefault="00B5171B" w:rsidP="00B5171B">
            <w:pPr>
              <w:widowControl w:val="0"/>
              <w:numPr>
                <w:ilvl w:val="1"/>
                <w:numId w:val="2"/>
              </w:numPr>
              <w:tabs>
                <w:tab w:val="left" w:pos="337"/>
                <w:tab w:val="left" w:pos="1313"/>
              </w:tabs>
              <w:spacing w:after="200" w:line="276" w:lineRule="auto"/>
              <w:ind w:left="337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Sumele restante la plat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momentul confirm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de c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Banca de cont central a achit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acestora sunt sc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zute din Limita 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Participantul - cump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 poate cump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ra 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cursul sedin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elor de licita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 desf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urate p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momentul confirm</w:t>
            </w:r>
            <w:r w:rsidR="007001B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rii.</w:t>
            </w:r>
          </w:p>
          <w:p w14:paraId="5AADE9CC" w14:textId="57C86DDD" w:rsidR="00B5171B" w:rsidRPr="00C2039B" w:rsidRDefault="00B5171B" w:rsidP="00B5171B">
            <w:pPr>
              <w:widowControl w:val="0"/>
              <w:numPr>
                <w:ilvl w:val="1"/>
                <w:numId w:val="2"/>
              </w:numPr>
              <w:tabs>
                <w:tab w:val="left" w:pos="337"/>
                <w:tab w:val="left" w:pos="1313"/>
              </w:tabs>
              <w:spacing w:after="200" w:line="276" w:lineRule="auto"/>
              <w:ind w:left="337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Sumele restante la plat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momentul confirm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de 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Banca de cont central a achit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rii acestora sunt scazute din Limita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Participantul - v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nz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tor poate vinde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cursul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edintelor de licita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 desf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urate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momentul confirm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rii.</w:t>
            </w:r>
          </w:p>
          <w:p w14:paraId="43601B86" w14:textId="10554C19" w:rsidR="00FB0DAE" w:rsidRPr="00C2039B" w:rsidRDefault="00A95B58" w:rsidP="00B5171B">
            <w:pPr>
              <w:widowControl w:val="0"/>
              <w:numPr>
                <w:ilvl w:val="1"/>
                <w:numId w:val="2"/>
              </w:numPr>
              <w:tabs>
                <w:tab w:val="left" w:pos="337"/>
                <w:tab w:val="left" w:pos="1313"/>
              </w:tabs>
              <w:spacing w:after="200" w:line="276" w:lineRule="auto"/>
              <w:ind w:left="337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cadrul sedin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ei de tranzac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 curente, Limita de calificare a Participantului este verificat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timp real de c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platforma BRM, lu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nd 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calcul toate tranzac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iile curente 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Participantul cump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 sau v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nz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tor este angajat. Participantul este exclus 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situa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ia 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soldul Limitei este depa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it de valoarea tranzac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ini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iate. Excluderea de la tranzac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 se efectueaz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numai pentru tranzac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iile 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Limita este depa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it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Participantul av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 posibilitatea de a reduce valoarea tranzac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iei pentru a se 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ncadra 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Limit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sau de a majora cuantumul Limitei, pentru a putea participa la noi </w:t>
            </w:r>
            <w:r w:rsidR="001C3463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edinte.</w:t>
            </w:r>
          </w:p>
          <w:p w14:paraId="590CB7E6" w14:textId="6898508D" w:rsidR="00FB0DAE" w:rsidRPr="00C2039B" w:rsidRDefault="00FB0DAE" w:rsidP="00FB0DAE">
            <w:pPr>
              <w:widowControl w:val="0"/>
              <w:tabs>
                <w:tab w:val="left" w:pos="814"/>
                <w:tab w:val="left" w:pos="1313"/>
              </w:tabs>
              <w:spacing w:after="200" w:line="276" w:lineRule="auto"/>
              <w:ind w:left="8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 xml:space="preserve">Decontare </w:t>
            </w:r>
            <w:r w:rsidR="008F66CF"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 xml:space="preserve">i Facturare </w:t>
            </w:r>
          </w:p>
          <w:p w14:paraId="57F7D2B0" w14:textId="6402052B" w:rsidR="00FB0DAE" w:rsidRPr="00C2039B" w:rsidRDefault="008F66CF" w:rsidP="008F66CF">
            <w:pPr>
              <w:widowControl w:val="0"/>
              <w:numPr>
                <w:ilvl w:val="1"/>
                <w:numId w:val="2"/>
              </w:numPr>
              <w:tabs>
                <w:tab w:val="left" w:pos="1313"/>
              </w:tabs>
              <w:spacing w:after="200" w:line="276" w:lineRule="auto"/>
              <w:ind w:left="337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BRM va pune la dispozi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fiec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rui Participant care a 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nregistrat tranzac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de v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nzare sau de cump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rare o Not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Decontare Zilnic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ce va con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ine urm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toarele informa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ii:</w:t>
            </w:r>
          </w:p>
          <w:p w14:paraId="595A8580" w14:textId="3607172D" w:rsidR="00FB0DAE" w:rsidRPr="00C2039B" w:rsidRDefault="00FB0DAE" w:rsidP="00FB0DAE">
            <w:pPr>
              <w:widowControl w:val="0"/>
              <w:numPr>
                <w:ilvl w:val="0"/>
                <w:numId w:val="7"/>
              </w:numPr>
              <w:tabs>
                <w:tab w:val="left" w:pos="814"/>
              </w:tabs>
              <w:spacing w:after="200" w:line="276" w:lineRule="auto"/>
              <w:ind w:left="1738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Cantit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ile de gaze naturale corespunz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 v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nz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rilor 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cump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rilor efectuate 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ziua de tranzac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ionare D cu livrare 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ziua D sau 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ziua D+1;</w:t>
            </w:r>
          </w:p>
          <w:p w14:paraId="00C057FF" w14:textId="6D7377A8" w:rsidR="00FB0DAE" w:rsidRPr="00C2039B" w:rsidRDefault="00FB0DAE" w:rsidP="00FB0DAE">
            <w:pPr>
              <w:widowControl w:val="0"/>
              <w:numPr>
                <w:ilvl w:val="0"/>
                <w:numId w:val="7"/>
              </w:numPr>
              <w:tabs>
                <w:tab w:val="left" w:pos="814"/>
              </w:tabs>
              <w:spacing w:after="200" w:line="276" w:lineRule="auto"/>
              <w:ind w:left="1738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Valorile corespunz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 v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nz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rilor 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cump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rilor efectuate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ziua de tranzac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ionare D cu livrare 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ziua D sau 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ziua D+1;</w:t>
            </w:r>
          </w:p>
          <w:p w14:paraId="6DFC729A" w14:textId="636E2D39" w:rsidR="00FB0DAE" w:rsidRPr="00C2039B" w:rsidRDefault="00FB0DAE" w:rsidP="00FB0DAE">
            <w:pPr>
              <w:widowControl w:val="0"/>
              <w:numPr>
                <w:ilvl w:val="0"/>
                <w:numId w:val="7"/>
              </w:numPr>
              <w:tabs>
                <w:tab w:val="left" w:pos="814"/>
              </w:tabs>
              <w:spacing w:after="200" w:line="276" w:lineRule="auto"/>
              <w:ind w:left="1738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Pre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ul de 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nchidere al tranzac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iilor;</w:t>
            </w:r>
          </w:p>
          <w:p w14:paraId="08C57B28" w14:textId="1B092F11" w:rsidR="00FB0DAE" w:rsidRPr="00C2039B" w:rsidRDefault="00FB0DAE" w:rsidP="00FB0DAE">
            <w:pPr>
              <w:widowControl w:val="0"/>
              <w:numPr>
                <w:ilvl w:val="0"/>
                <w:numId w:val="7"/>
              </w:numPr>
              <w:tabs>
                <w:tab w:val="left" w:pos="814"/>
              </w:tabs>
              <w:spacing w:after="200" w:line="276" w:lineRule="auto"/>
              <w:ind w:left="1738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Valoarea comisionului pl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tibil BRM;</w:t>
            </w:r>
          </w:p>
          <w:p w14:paraId="1B125A44" w14:textId="497EF979" w:rsidR="00FB0DAE" w:rsidRPr="00C2039B" w:rsidRDefault="00FB0DAE" w:rsidP="00FB0DAE">
            <w:pPr>
              <w:widowControl w:val="0"/>
              <w:numPr>
                <w:ilvl w:val="0"/>
                <w:numId w:val="7"/>
              </w:numPr>
              <w:tabs>
                <w:tab w:val="left" w:pos="814"/>
              </w:tabs>
              <w:spacing w:after="200" w:line="276" w:lineRule="auto"/>
              <w:ind w:left="1738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Contravaloarea TVA, conform reglement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rilor aplicabile;</w:t>
            </w:r>
          </w:p>
          <w:p w14:paraId="2A1DA70A" w14:textId="147A3E74" w:rsidR="00FB0DAE" w:rsidRPr="00C2039B" w:rsidRDefault="00FB0DAE" w:rsidP="00FB0DAE">
            <w:pPr>
              <w:widowControl w:val="0"/>
              <w:numPr>
                <w:ilvl w:val="0"/>
                <w:numId w:val="7"/>
              </w:numPr>
              <w:tabs>
                <w:tab w:val="left" w:pos="814"/>
              </w:tabs>
              <w:spacing w:after="200" w:line="276" w:lineRule="auto"/>
              <w:ind w:left="1738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Valoarea net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drepturilor de 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ncasare/ obliga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de plat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zilnice;</w:t>
            </w:r>
          </w:p>
          <w:p w14:paraId="4E9DF749" w14:textId="7B6901D0" w:rsidR="00FB0DAE" w:rsidRPr="00C2039B" w:rsidRDefault="00FB0DAE" w:rsidP="00FB0DAE">
            <w:pPr>
              <w:widowControl w:val="0"/>
              <w:numPr>
                <w:ilvl w:val="0"/>
                <w:numId w:val="7"/>
              </w:numPr>
              <w:tabs>
                <w:tab w:val="left" w:pos="814"/>
              </w:tabs>
              <w:spacing w:after="200" w:line="276" w:lineRule="auto"/>
              <w:ind w:left="1738" w:hanging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Orice alte informa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considerate necesare sau obligatorii, potrivit reglement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rilor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aplicabile.</w:t>
            </w:r>
          </w:p>
          <w:p w14:paraId="04DCD4D3" w14:textId="77777777" w:rsidR="00A95B58" w:rsidRPr="00C2039B" w:rsidRDefault="00FB0DAE" w:rsidP="00A95B58">
            <w:pPr>
              <w:widowControl w:val="0"/>
              <w:numPr>
                <w:ilvl w:val="1"/>
                <w:numId w:val="2"/>
              </w:numPr>
              <w:tabs>
                <w:tab w:val="left" w:pos="517"/>
                <w:tab w:val="left" w:pos="1313"/>
              </w:tabs>
              <w:spacing w:after="200" w:line="276" w:lineRule="auto"/>
              <w:ind w:left="337" w:hanging="3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Valoarea Instruc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iunilor de debitare direct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 ordinelor de plat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emise de BRM se va calcula pe baza Notelor de Decontare Zilnic</w:t>
            </w:r>
            <w:r w:rsidR="00E74346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. </w:t>
            </w:r>
          </w:p>
          <w:p w14:paraId="19947830" w14:textId="77777777" w:rsidR="00A95B58" w:rsidRPr="00C2039B" w:rsidRDefault="00FB0DAE" w:rsidP="00A95B58">
            <w:pPr>
              <w:widowControl w:val="0"/>
              <w:numPr>
                <w:ilvl w:val="1"/>
                <w:numId w:val="2"/>
              </w:numPr>
              <w:tabs>
                <w:tab w:val="left" w:pos="517"/>
                <w:tab w:val="left" w:pos="1313"/>
              </w:tabs>
              <w:spacing w:after="200" w:line="276" w:lineRule="auto"/>
              <w:ind w:left="337" w:hanging="3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BRM va emite 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transmite lunar facturi c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Participant, pe baza Notelor de Decontare Zilnic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. </w:t>
            </w:r>
          </w:p>
          <w:p w14:paraId="5CD7950E" w14:textId="77777777" w:rsidR="00A95B58" w:rsidRPr="00C2039B" w:rsidRDefault="00FB0DAE" w:rsidP="00A95B58">
            <w:pPr>
              <w:widowControl w:val="0"/>
              <w:numPr>
                <w:ilvl w:val="1"/>
                <w:numId w:val="2"/>
              </w:numPr>
              <w:tabs>
                <w:tab w:val="left" w:pos="517"/>
                <w:tab w:val="left" w:pos="1313"/>
              </w:tabs>
              <w:spacing w:after="200" w:line="276" w:lineRule="auto"/>
              <w:ind w:left="337" w:hanging="3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Facturile vor fi emise de BRM cu data ultimei zile a lunii de livrare 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vor fi comunicate electronic Participantului, 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primele 5 zile lucr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 ale lunii urm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toare. Facturile vor con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ine situa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centralizat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tranzac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iilor efectuate de Participant 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luna de livrare (cantitativ 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valoric), obliga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iile de plat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drepturile de 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ncasare ale BRM, tarife 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comisioanele aplicabile, contravaloarea TVA conform prevederilor legisla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iei fiscale aplicabile la data factur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rii, valoarea total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, precum 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orice alte men</w:t>
            </w:r>
            <w:r w:rsidR="007E2EF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iuni obligatorii potrivit legii. </w:t>
            </w:r>
          </w:p>
          <w:p w14:paraId="782E9389" w14:textId="0226B0E5" w:rsidR="00FB0DAE" w:rsidRPr="00C2039B" w:rsidRDefault="00FB0DAE" w:rsidP="00A95B58">
            <w:pPr>
              <w:widowControl w:val="0"/>
              <w:numPr>
                <w:ilvl w:val="1"/>
                <w:numId w:val="2"/>
              </w:numPr>
              <w:tabs>
                <w:tab w:val="left" w:pos="517"/>
                <w:tab w:val="left" w:pos="1313"/>
              </w:tabs>
              <w:spacing w:after="200" w:line="276" w:lineRule="auto"/>
              <w:ind w:left="337" w:hanging="3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La r</w:t>
            </w:r>
            <w:r w:rsidR="00FF6E01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ndul s</w:t>
            </w:r>
            <w:r w:rsidR="00FF6E01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u, Participantul va emite lunar factura aferent</w:t>
            </w:r>
            <w:r w:rsidR="00FF6E01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cantit</w:t>
            </w:r>
            <w:r w:rsidR="00FF6E01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ilor de gaze naturale v</w:t>
            </w:r>
            <w:r w:rsidR="00FF6E01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ndute pe Pia</w:t>
            </w:r>
            <w:r w:rsidR="00FF6E01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a produselor pe termen scurt. Facturile vor fi emise de Participant cu data ultimei zile a lunii de livrare </w:t>
            </w:r>
            <w:r w:rsidR="00FF6E01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vor fi comunicate electronic sau prin fax c</w:t>
            </w:r>
            <w:r w:rsidR="00FF6E01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tre BRM, </w:t>
            </w:r>
            <w:r w:rsidR="00FF6E01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primele 5 zile lucr</w:t>
            </w:r>
            <w:r w:rsidR="00FF6E01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 ale lunii urm</w:t>
            </w:r>
            <w:r w:rsidR="00FF6E01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</w:t>
            </w:r>
            <w:r w:rsidR="00A1556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</w:p>
          <w:p w14:paraId="2DDEF57E" w14:textId="67AB309E" w:rsidR="00FB0DAE" w:rsidRPr="00C2039B" w:rsidRDefault="00FB0DAE" w:rsidP="00FB0DAE">
            <w:pPr>
              <w:widowControl w:val="0"/>
              <w:numPr>
                <w:ilvl w:val="0"/>
                <w:numId w:val="2"/>
              </w:numPr>
              <w:tabs>
                <w:tab w:val="left" w:pos="814"/>
              </w:tabs>
              <w:spacing w:after="200" w:line="276" w:lineRule="auto"/>
              <w:ind w:left="814" w:hanging="814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Drepturile </w:t>
            </w:r>
            <w:r w:rsidR="00A95B58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i obliga</w:t>
            </w:r>
            <w:r w:rsidR="00A95B58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iile BRM</w:t>
            </w:r>
          </w:p>
        </w:tc>
      </w:tr>
      <w:tr w:rsidR="00FB0DAE" w:rsidRPr="007A4C72" w14:paraId="5394DF07" w14:textId="77777777" w:rsidTr="002B3D8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15" w:type="dxa"/>
            <w:gridSpan w:val="2"/>
          </w:tcPr>
          <w:p w14:paraId="162B188B" w14:textId="77777777" w:rsidR="002D3B1A" w:rsidRPr="00C2039B" w:rsidRDefault="00FB0DAE" w:rsidP="002D3B1A">
            <w:pPr>
              <w:widowControl w:val="0"/>
              <w:numPr>
                <w:ilvl w:val="1"/>
                <w:numId w:val="2"/>
              </w:numPr>
              <w:tabs>
                <w:tab w:val="left" w:pos="517"/>
              </w:tabs>
              <w:spacing w:after="200" w:line="276" w:lineRule="auto"/>
              <w:ind w:left="247" w:hanging="24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 xml:space="preserve">BRM </w:t>
            </w:r>
            <w:r w:rsidR="00A95B5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asum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integral r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spunderea de a se asigura c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Mandatul de debitare direct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este valid 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valabil 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constituie o autorizare corespunz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 pentru banca Participantului pentru debitarea contului curent al Participantului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.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</w:p>
          <w:p w14:paraId="18C564E6" w14:textId="77777777" w:rsidR="002D3B1A" w:rsidRPr="00C2039B" w:rsidRDefault="00FB0DAE" w:rsidP="002D3B1A">
            <w:pPr>
              <w:widowControl w:val="0"/>
              <w:numPr>
                <w:ilvl w:val="1"/>
                <w:numId w:val="2"/>
              </w:numPr>
              <w:tabs>
                <w:tab w:val="left" w:pos="517"/>
              </w:tabs>
              <w:spacing w:after="200" w:line="276" w:lineRule="auto"/>
              <w:ind w:left="247" w:hanging="24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BRM 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asum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spunderea deplin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pentru exactitatea tuturor Instruc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iunilor de debitare direct</w:t>
            </w:r>
            <w:r w:rsidR="002D3B1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transmise 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B</w:t>
            </w:r>
            <w:r w:rsidR="002D3B1A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ncii de cont curent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.</w:t>
            </w:r>
          </w:p>
          <w:p w14:paraId="31035795" w14:textId="77777777" w:rsidR="009D79E0" w:rsidRPr="00C2039B" w:rsidRDefault="00FB0DAE" w:rsidP="009D79E0">
            <w:pPr>
              <w:widowControl w:val="0"/>
              <w:numPr>
                <w:ilvl w:val="1"/>
                <w:numId w:val="2"/>
              </w:numPr>
              <w:tabs>
                <w:tab w:val="left" w:pos="517"/>
              </w:tabs>
              <w:spacing w:after="200" w:line="276" w:lineRule="auto"/>
              <w:ind w:left="247" w:hanging="24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BRM se oblig</w:t>
            </w:r>
            <w:r w:rsidR="002D3B1A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</w:t>
            </w:r>
            <w:r w:rsidR="002D3B1A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respecte </w:t>
            </w:r>
            <w:r w:rsidR="002D3B1A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ntocmai </w:t>
            </w:r>
            <w:r w:rsidR="002D3B1A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</w:t>
            </w:r>
            <w:r w:rsidR="002D3B1A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orice moment reglement</w:t>
            </w:r>
            <w:r w:rsidR="002D3B1A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rile legale </w:t>
            </w:r>
            <w:r w:rsidR="002D3B1A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vigoare aplicabile Instruc</w:t>
            </w:r>
            <w:r w:rsidR="002D3B1A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iunilor de debitare direct</w:t>
            </w:r>
            <w:r w:rsidR="002D3B1A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</w:p>
          <w:p w14:paraId="58C504AE" w14:textId="77777777" w:rsidR="009D79E0" w:rsidRPr="00C2039B" w:rsidRDefault="00FB0DAE" w:rsidP="009D79E0">
            <w:pPr>
              <w:widowControl w:val="0"/>
              <w:numPr>
                <w:ilvl w:val="1"/>
                <w:numId w:val="2"/>
              </w:numPr>
              <w:tabs>
                <w:tab w:val="left" w:pos="517"/>
              </w:tabs>
              <w:spacing w:after="200" w:line="276" w:lineRule="auto"/>
              <w:ind w:left="247" w:hanging="24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BRM se oblig</w:t>
            </w:r>
            <w:r w:rsidR="009D79E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</w:t>
            </w:r>
            <w:r w:rsidR="009D79E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asigure confiden</w:t>
            </w:r>
            <w:r w:rsidR="009D79E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ialitatea datelor personale </w:t>
            </w:r>
            <w:r w:rsidR="009D79E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bancare ale Participan</w:t>
            </w:r>
            <w:r w:rsidR="009D79E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ilor </w:t>
            </w:r>
            <w:r w:rsidR="009D79E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respectarea tuturor obliga</w:t>
            </w:r>
            <w:r w:rsidR="009D79E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iilor legale cu privire la datele cu caracter personal. </w:t>
            </w:r>
          </w:p>
          <w:p w14:paraId="40F981D0" w14:textId="11608205" w:rsidR="00FB0DAE" w:rsidRPr="00C2039B" w:rsidRDefault="00FB0DAE" w:rsidP="009D79E0">
            <w:pPr>
              <w:widowControl w:val="0"/>
              <w:numPr>
                <w:ilvl w:val="1"/>
                <w:numId w:val="2"/>
              </w:numPr>
              <w:tabs>
                <w:tab w:val="left" w:pos="517"/>
              </w:tabs>
              <w:spacing w:after="200" w:line="276" w:lineRule="auto"/>
              <w:ind w:left="247" w:hanging="24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BRM se oblig</w:t>
            </w:r>
            <w:r w:rsidR="003A5E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</w:t>
            </w:r>
            <w:r w:rsidR="003A5E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asigure bunul mers al tranzac</w:t>
            </w:r>
            <w:r w:rsidR="003A5E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pe Pia</w:t>
            </w:r>
            <w:r w:rsidR="003A5E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a produselor pe termen scurt. </w:t>
            </w:r>
            <w:r w:rsidR="003A5E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acest sens, BRM va avea dreptul:  </w:t>
            </w:r>
          </w:p>
          <w:p w14:paraId="3EF5E373" w14:textId="6DC5F189" w:rsidR="00FB0DAE" w:rsidRPr="007A4C72" w:rsidRDefault="00FB0DAE" w:rsidP="00FB0DAE">
            <w:pPr>
              <w:widowControl w:val="0"/>
              <w:numPr>
                <w:ilvl w:val="0"/>
                <w:numId w:val="5"/>
              </w:numPr>
              <w:tabs>
                <w:tab w:val="num" w:pos="1381"/>
              </w:tabs>
              <w:autoSpaceDE w:val="0"/>
              <w:autoSpaceDN w:val="0"/>
              <w:adjustRightInd w:val="0"/>
              <w:spacing w:before="240" w:after="200" w:line="276" w:lineRule="auto"/>
              <w:ind w:left="1381" w:hanging="567"/>
              <w:jc w:val="both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S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suspende sau s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anuleze orice ordine de tranzac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ionare sau orice ac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iuni realizate 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calitate de contraparte pentru a remedia probleme tehnice sau la cererea autorit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ăț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ilor de reglementare;</w:t>
            </w:r>
          </w:p>
          <w:p w14:paraId="7A239947" w14:textId="6D3A205E" w:rsidR="00FB0DAE" w:rsidRPr="007A4C72" w:rsidRDefault="00FB0DAE" w:rsidP="00FB0DAE">
            <w:pPr>
              <w:widowControl w:val="0"/>
              <w:numPr>
                <w:ilvl w:val="0"/>
                <w:numId w:val="5"/>
              </w:numPr>
              <w:tabs>
                <w:tab w:val="num" w:pos="1381"/>
              </w:tabs>
              <w:autoSpaceDE w:val="0"/>
              <w:autoSpaceDN w:val="0"/>
              <w:adjustRightInd w:val="0"/>
              <w:spacing w:before="240" w:after="200" w:line="276" w:lineRule="auto"/>
              <w:ind w:left="1381" w:hanging="567"/>
              <w:jc w:val="both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S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suspende sau s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ntrerup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accesul oric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rui Participant la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Pia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a produselor pe termen scurt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n cazul 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care OTS trimite la BRM confirmarea nelivr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rilor de gaze, demonstr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nd c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Participantul nu a livrat cantitatea de gaze tranzac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ionat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calitate de v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nz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tor sau nu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lastRenderedPageBreak/>
              <w:t>a preluat cantitatea de gaze tranzac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ionat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calitate de cump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r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tor.</w:t>
            </w:r>
          </w:p>
          <w:p w14:paraId="42BC2537" w14:textId="25C8383A" w:rsidR="00FB0DAE" w:rsidRPr="007A4C72" w:rsidRDefault="00FB0DAE" w:rsidP="00FB0DAE">
            <w:pPr>
              <w:widowControl w:val="0"/>
              <w:numPr>
                <w:ilvl w:val="0"/>
                <w:numId w:val="5"/>
              </w:numPr>
              <w:tabs>
                <w:tab w:val="num" w:pos="1381"/>
              </w:tabs>
              <w:autoSpaceDE w:val="0"/>
              <w:autoSpaceDN w:val="0"/>
              <w:adjustRightInd w:val="0"/>
              <w:spacing w:after="200" w:line="276" w:lineRule="auto"/>
              <w:ind w:left="1381" w:hanging="567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S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suspende sau s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ntrerup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accesul oric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rui Participant la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Pia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a produselor pe termen scurt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orice alte cazuri prev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zute expres de prezentul Acord, precum 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i 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orice alte situa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ii 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care exist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dovezi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c</w:t>
            </w:r>
            <w:r w:rsidR="003A5EF5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activitatea Participantului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ar putea afecta 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mod negativ reputa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ia Pie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ei produselor pe termen scurt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sau care ar putea afecta modul ordonat 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corect de tranzac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ionare sau decontare (incluz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nd, dar f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r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a se limita la tentative realizate sau e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uate de manipulare a pie</w:t>
            </w:r>
            <w:r w:rsidR="003A5EF5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ei);</w:t>
            </w:r>
          </w:p>
          <w:p w14:paraId="34A595F3" w14:textId="0B80EE5A" w:rsidR="009B59EC" w:rsidRPr="007A4C72" w:rsidRDefault="009B59EC" w:rsidP="009B59E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pacing w:after="200" w:line="276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ro-RO"/>
              </w:rPr>
            </w:pP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Toate m</w:t>
            </w:r>
            <w:r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surile de mai sus vor fi opozabile Participantului</w:t>
            </w:r>
            <w:r w:rsidR="00D90F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la momentul adoptării lor. În cazul unei culpe a BRM în adoptarea măsurilor de mai sus, este exclusă răspunderea BRM pentru orice profit nerealizat de către </w:t>
            </w:r>
            <w:r w:rsidR="004211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Participant urmare a măsurii luate.</w:t>
            </w:r>
            <w:r w:rsidR="00FB0DAE" w:rsidRPr="007A4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</w:p>
          <w:p w14:paraId="7D3F7EB4" w14:textId="77777777" w:rsidR="009B59EC" w:rsidRPr="00C2039B" w:rsidRDefault="009B59EC" w:rsidP="009B59E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pacing w:after="200" w:line="276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BRM se oblig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returneze sumele aferente Instruc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iunilor de debitare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ncasate,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cazul primirii unei solicit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 transmise conform prevederilor Art. 4.8 din prezentul Acord, inclusiv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situa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schimb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Institu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ia colectoare sau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nceteaz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foloseasc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Instruc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 de debitare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intervalul de timp dintre momentul emiterii unei Instruc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 de debitare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momentul formul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unei solicit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 de rambursare/returnare.</w:t>
            </w:r>
          </w:p>
          <w:p w14:paraId="262244F1" w14:textId="1EF5DC50" w:rsidR="00FB0DAE" w:rsidRPr="00C2039B" w:rsidRDefault="009B59EC" w:rsidP="009B59E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pacing w:after="200" w:line="276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Banca Participantului pl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titor,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calitate de Institu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 pl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titoare, poate solicita returnarea unei Instruc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 de debitare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din motive tehnice sau pentru 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nu poate executa Instruc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iunea de debitare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din alte motive (ex: contul Participantului este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nchis).</w:t>
            </w:r>
          </w:p>
          <w:p w14:paraId="0BBBA6BF" w14:textId="4715ADD9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381"/>
              </w:tabs>
              <w:autoSpaceDE w:val="0"/>
              <w:autoSpaceDN w:val="0"/>
              <w:adjustRightInd w:val="0"/>
              <w:spacing w:after="200" w:line="276" w:lineRule="auto"/>
              <w:ind w:left="1381" w:hanging="567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O solicitare de returnare a unei Instruc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iuni de debitare direct</w:t>
            </w:r>
            <w:r w:rsidR="009B59EC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procesat</w:t>
            </w:r>
            <w:r w:rsidR="009B59EC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9B59EC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Schema de debitare direct</w:t>
            </w:r>
            <w:r w:rsidR="009B59EC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CORE poate fi trimis</w:t>
            </w:r>
            <w:r w:rsidR="009B59EC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9B59EC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termen de 5 zile lucr</w:t>
            </w:r>
            <w:r w:rsidR="009B59EC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toare de la data decont</w:t>
            </w:r>
            <w:r w:rsidR="009B59EC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rii. </w:t>
            </w:r>
          </w:p>
          <w:p w14:paraId="38F8B505" w14:textId="36D7399B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381"/>
              </w:tabs>
              <w:autoSpaceDE w:val="0"/>
              <w:autoSpaceDN w:val="0"/>
              <w:adjustRightInd w:val="0"/>
              <w:spacing w:before="240" w:after="200" w:line="276" w:lineRule="auto"/>
              <w:ind w:left="1381" w:hanging="567"/>
              <w:jc w:val="both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O solicitare de returnare a unei Instruc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iuni de debitare direct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procesat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Schema de debitare direct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Business 2 Business poate fi trimis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termen de 2 zile lucr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toare de la data decont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rii. </w:t>
            </w:r>
          </w:p>
          <w:p w14:paraId="38454D2B" w14:textId="7D793C74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left" w:pos="1381"/>
              </w:tabs>
              <w:autoSpaceDE w:val="0"/>
              <w:autoSpaceDN w:val="0"/>
              <w:adjustRightInd w:val="0"/>
              <w:spacing w:before="240" w:after="200" w:line="276" w:lineRule="auto"/>
              <w:ind w:left="1381" w:hanging="567"/>
              <w:jc w:val="both"/>
              <w:outlineLvl w:val="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Dup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expirarea termenelor prev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zute la Art. 4.8.1 si 4.8.2, Institu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ia pl</w:t>
            </w:r>
            <w:r w:rsidR="009B59EC"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titoare nu mai poate transmite solicit</w:t>
            </w:r>
            <w:r w:rsidR="009B59EC" w:rsidRPr="007A4C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ri de returnare.</w:t>
            </w:r>
          </w:p>
          <w:p w14:paraId="7579B5CF" w14:textId="77777777" w:rsidR="009B59EC" w:rsidRPr="00C2039B" w:rsidRDefault="009B59EC" w:rsidP="009B59EC">
            <w:pPr>
              <w:widowControl w:val="0"/>
              <w:numPr>
                <w:ilvl w:val="1"/>
                <w:numId w:val="2"/>
              </w:numPr>
              <w:tabs>
                <w:tab w:val="left" w:pos="814"/>
              </w:tabs>
              <w:spacing w:after="200" w:line="276" w:lineRule="auto"/>
              <w:ind w:left="343" w:hanging="34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Valoarea costurilor se va limita la comisioanele solicitate de 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banca Participantului pl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titor ini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iatoare a solicit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de rambursare/returnare a Instruc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iunii de debitare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. </w:t>
            </w:r>
          </w:p>
          <w:p w14:paraId="61B9F21D" w14:textId="77777777" w:rsidR="00D77345" w:rsidRPr="00C2039B" w:rsidRDefault="009B59EC" w:rsidP="00D77345">
            <w:pPr>
              <w:widowControl w:val="0"/>
              <w:numPr>
                <w:ilvl w:val="1"/>
                <w:numId w:val="2"/>
              </w:numPr>
              <w:tabs>
                <w:tab w:val="left" w:pos="814"/>
              </w:tabs>
              <w:spacing w:after="200" w:line="276" w:lineRule="auto"/>
              <w:ind w:left="343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acest caz, singura obliga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 a BRM va fi aceea de a nu executa garan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iile Participantului, dup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primirea solicit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rii de returnare 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cu condi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ca Institu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pl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titoare s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respecte termenele prev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zute la Art. 4.8.1 si 4.8.2.</w:t>
            </w:r>
          </w:p>
          <w:p w14:paraId="652ADC62" w14:textId="22DF7051" w:rsidR="00FB0DAE" w:rsidRPr="00C2039B" w:rsidRDefault="00D77345" w:rsidP="00D77345">
            <w:pPr>
              <w:widowControl w:val="0"/>
              <w:numPr>
                <w:ilvl w:val="1"/>
                <w:numId w:val="2"/>
              </w:numPr>
              <w:tabs>
                <w:tab w:val="left" w:pos="814"/>
              </w:tabs>
              <w:spacing w:after="200" w:line="276" w:lineRule="auto"/>
              <w:ind w:left="343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Cu excep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culpei grave sau 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iunilor inten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ionate, BRM nu 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spunde pentru eventualele prejudicii cauzate de:</w:t>
            </w:r>
          </w:p>
          <w:p w14:paraId="38557B70" w14:textId="1E9089AA" w:rsidR="00FB0DAE" w:rsidRPr="00C2039B" w:rsidRDefault="00FB0DAE" w:rsidP="00FB0DAE">
            <w:pPr>
              <w:widowControl w:val="0"/>
              <w:numPr>
                <w:ilvl w:val="0"/>
                <w:numId w:val="6"/>
              </w:numPr>
              <w:tabs>
                <w:tab w:val="left" w:pos="81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Introducerea de c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Participant a unor ordine/oferte contin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 erori sau inadverten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e;</w:t>
            </w:r>
          </w:p>
          <w:p w14:paraId="426D3760" w14:textId="08F4BB0C" w:rsidR="00FB0DAE" w:rsidRPr="00C2039B" w:rsidRDefault="00FB0DAE" w:rsidP="00FB0DAE">
            <w:pPr>
              <w:widowControl w:val="0"/>
              <w:numPr>
                <w:ilvl w:val="0"/>
                <w:numId w:val="6"/>
              </w:numPr>
              <w:tabs>
                <w:tab w:val="left" w:pos="81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Incorecta utilizare a sistemului de tranzac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 al BRM pus la dispozi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Participan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ilor;</w:t>
            </w:r>
          </w:p>
          <w:p w14:paraId="72F246D9" w14:textId="537C823E" w:rsidR="00FB0DAE" w:rsidRPr="00C2039B" w:rsidRDefault="00FB0DAE" w:rsidP="00FB0DAE">
            <w:pPr>
              <w:widowControl w:val="0"/>
              <w:numPr>
                <w:ilvl w:val="0"/>
                <w:numId w:val="6"/>
              </w:numPr>
              <w:tabs>
                <w:tab w:val="num" w:pos="432"/>
                <w:tab w:val="left" w:pos="81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Disfunctionalit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sau defec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iuni ale c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ilor de comunica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cu BRM sau ale sistemului de tranzac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 al BRM pus la dispozi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Participan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ilor. </w:t>
            </w:r>
          </w:p>
        </w:tc>
      </w:tr>
      <w:tr w:rsidR="00FB0DAE" w:rsidRPr="007A4C72" w14:paraId="6A7B9322" w14:textId="77777777" w:rsidTr="002B3D8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15" w:type="dxa"/>
            <w:gridSpan w:val="2"/>
          </w:tcPr>
          <w:p w14:paraId="113CF479" w14:textId="77777777" w:rsidR="00FB0DAE" w:rsidRPr="007A4C72" w:rsidRDefault="00FB0DAE" w:rsidP="00D77345">
            <w:pPr>
              <w:widowControl w:val="0"/>
              <w:tabs>
                <w:tab w:val="left" w:pos="81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o-RO"/>
              </w:rPr>
            </w:pPr>
          </w:p>
        </w:tc>
      </w:tr>
      <w:tr w:rsidR="00FB0DAE" w:rsidRPr="007A4C72" w14:paraId="410DF502" w14:textId="77777777" w:rsidTr="002B3D8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15" w:type="dxa"/>
            <w:gridSpan w:val="2"/>
          </w:tcPr>
          <w:p w14:paraId="21C85CA4" w14:textId="499A485B" w:rsidR="00FB0DAE" w:rsidRPr="00C2039B" w:rsidRDefault="00FB0DAE" w:rsidP="00FB0DA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num" w:pos="459"/>
                <w:tab w:val="left" w:pos="540"/>
                <w:tab w:val="num" w:pos="972"/>
              </w:tabs>
              <w:autoSpaceDE w:val="0"/>
              <w:autoSpaceDN w:val="0"/>
              <w:adjustRightInd w:val="0"/>
              <w:spacing w:after="200" w:line="276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FOR</w:t>
            </w:r>
            <w:r w:rsidR="00D77345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A MAJOR</w:t>
            </w:r>
            <w:r w:rsidR="00D77345"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Ă</w:t>
            </w:r>
          </w:p>
          <w:p w14:paraId="7787777E" w14:textId="77777777" w:rsidR="00D77345" w:rsidRPr="00C2039B" w:rsidRDefault="00FB0DAE" w:rsidP="00D77345">
            <w:pPr>
              <w:widowControl w:val="0"/>
              <w:numPr>
                <w:ilvl w:val="1"/>
                <w:numId w:val="2"/>
              </w:numPr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Participantul la Pia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produselor pe termen s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cur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Pr="00C20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exonereaz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BRM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orice obliga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 legat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rzieri sau neexecut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 datorate unor circums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ante independente de voin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acesteia.</w:t>
            </w:r>
          </w:p>
          <w:p w14:paraId="6E0E6A9D" w14:textId="77777777" w:rsidR="00D77345" w:rsidRPr="00C2039B" w:rsidRDefault="00FB0DAE" w:rsidP="00D77345">
            <w:pPr>
              <w:widowControl w:val="0"/>
              <w:numPr>
                <w:ilvl w:val="1"/>
                <w:numId w:val="2"/>
              </w:numPr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Niciuna dintre P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nu r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spunde de neexecutarea la termen 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i/sau de executarea 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mod necorespunz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 – total sau par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ial – a oric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rei obliga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 care 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revine 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baza prezentului Acord, dac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neexecutarea sau executarea necorespunz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toare sau cu 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ntarziere a obliga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iei respective a fost cauzat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for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major</w:t>
            </w:r>
            <w:r w:rsidR="00D7734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, așa cum sunt definite la art. 1.351 din Codul Civil. </w:t>
            </w:r>
          </w:p>
          <w:p w14:paraId="01FD9DBE" w14:textId="77777777" w:rsidR="002308BE" w:rsidRPr="00C2039B" w:rsidRDefault="00FB0DAE" w:rsidP="002308BE">
            <w:pPr>
              <w:widowControl w:val="0"/>
              <w:numPr>
                <w:ilvl w:val="1"/>
                <w:numId w:val="2"/>
              </w:numPr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Partea care invoc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for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major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este obligat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notifice celeilalte P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i,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termen de 5 zile calendaristice, producerea evenimentului de for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major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s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ia toate m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surile posibile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vederea limit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consecin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elor lui.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caz contrar, Partea va 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spunde pentru prejudiciul cauzat, prin aceasta, celeilalte P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i. Notificarea privind cazul de for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major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va fi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nso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it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un document scris emis de o autoritate competent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(ex. Camera de Comer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Industrie a Rom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niei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caz de for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major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), care s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certifice exactitatea faptelor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mprejur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rilor notificate. </w:t>
            </w:r>
          </w:p>
          <w:p w14:paraId="3D0E8C0F" w14:textId="77777777" w:rsidR="00FB0DAE" w:rsidRPr="00C2039B" w:rsidRDefault="00FB0DAE" w:rsidP="002308BE">
            <w:pPr>
              <w:widowControl w:val="0"/>
              <w:numPr>
                <w:ilvl w:val="1"/>
                <w:numId w:val="2"/>
              </w:numPr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Dac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termen de 15 zile calendaristice de la producere, evenimentul respectiv nu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nceteaz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P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ile au dreptul s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notifice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ncetarea de plin drept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f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ndeplinirea nici unei formalit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 prezentului Acord, f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ca vreuna dintre ele s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pretind</w:t>
            </w:r>
            <w:r w:rsidR="002308B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daune-interese.   </w:t>
            </w:r>
          </w:p>
          <w:p w14:paraId="58048923" w14:textId="300B5026" w:rsidR="002308BE" w:rsidRPr="00C2039B" w:rsidRDefault="002308BE" w:rsidP="002308BE">
            <w:pPr>
              <w:widowControl w:val="0"/>
              <w:spacing w:after="200" w:line="276" w:lineRule="auto"/>
              <w:ind w:left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FB0DAE" w:rsidRPr="00C2039B" w14:paraId="0B27DBFE" w14:textId="77777777" w:rsidTr="002B3D8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15" w:type="dxa"/>
            <w:gridSpan w:val="2"/>
          </w:tcPr>
          <w:p w14:paraId="4F7D19C7" w14:textId="7321C371" w:rsidR="00FB0DAE" w:rsidRPr="00C2039B" w:rsidRDefault="00FB0DAE" w:rsidP="00FB0DAE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459"/>
                <w:tab w:val="num" w:pos="972"/>
              </w:tabs>
              <w:autoSpaceDE w:val="0"/>
              <w:autoSpaceDN w:val="0"/>
              <w:adjustRightInd w:val="0"/>
              <w:spacing w:after="200" w:line="276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CONFIDEN</w:t>
            </w:r>
            <w:r w:rsidR="002308BE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IALITATE</w:t>
            </w:r>
          </w:p>
          <w:p w14:paraId="0D52CF26" w14:textId="66ABD9CD" w:rsidR="00FB0DAE" w:rsidRPr="00C2039B" w:rsidRDefault="00FB0DAE" w:rsidP="00ED46BB">
            <w:pPr>
              <w:widowControl w:val="0"/>
              <w:numPr>
                <w:ilvl w:val="1"/>
                <w:numId w:val="2"/>
              </w:numPr>
              <w:tabs>
                <w:tab w:val="left" w:pos="253"/>
              </w:tabs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At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 pe perioada de derulare a prezentului Acord, c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 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dup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ncetarea acestuia, fiecare Parte va p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stra confiden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ialitatea tuturor informa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sau datelor cunoscute, indiferent sub ce form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ar exista, at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 a celor direct legate de prezentul Acord, c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 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 celorlalte date referitoare la cealalt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Parte 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clien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acesteia, indiferent pe ce cale le-a aflat, sub sanc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iunea rezilierii prezentului Acord 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i/sau a suport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daunelor ce le-ar cauza celeilalte P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ca urmare a nerespect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acestei clauze, cu men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iunea c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BRM va putea dezv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lui astfel de informa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c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tre grupul din care face parte precum 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angaja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ii, reprezentan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ii, consultan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 profesionali 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auditorii s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i, precum 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afilia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ilor s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angaja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ilor, reprezentan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ilor, consultan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ilor profesionali ori auditorilor acestora, care devin obliga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s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streze confiden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ialitatea sub acelea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reguli ca </w:t>
            </w:r>
            <w:r w:rsidR="0060734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BRM.</w:t>
            </w:r>
          </w:p>
          <w:p w14:paraId="3CE18ED7" w14:textId="456231B0" w:rsidR="00FB0DAE" w:rsidRPr="00C2039B" w:rsidRDefault="00B76A30" w:rsidP="00607344">
            <w:pPr>
              <w:widowControl w:val="0"/>
              <w:numPr>
                <w:ilvl w:val="1"/>
                <w:numId w:val="2"/>
              </w:numPr>
              <w:tabs>
                <w:tab w:val="left" w:pos="343"/>
              </w:tabs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Clauza de confiden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ialitate oblig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Partea care a ajuns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posesia unor astfel de informa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 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nu le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divulge unei ter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nici un caz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sub nici o form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cu excep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situa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prev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zute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normele imperative ale legii sau la solicitarea autorit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ilor competente,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caz contrar av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 obliga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de a suporta daune-interese care 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acopere integral prejudiciul cauzat celeilalte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dovedit de aceasta. </w:t>
            </w:r>
          </w:p>
          <w:p w14:paraId="3431A420" w14:textId="77777777" w:rsidR="00FB0DAE" w:rsidRPr="00C2039B" w:rsidRDefault="00FB0DAE" w:rsidP="00FB0DAE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459"/>
                <w:tab w:val="num" w:pos="972"/>
              </w:tabs>
              <w:autoSpaceDE w:val="0"/>
              <w:autoSpaceDN w:val="0"/>
              <w:adjustRightInd w:val="0"/>
              <w:spacing w:after="200" w:line="276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DURATA SI INCETAREA ACORDULUI</w:t>
            </w:r>
          </w:p>
          <w:p w14:paraId="6F72272E" w14:textId="3FAD8248" w:rsidR="00FB0DAE" w:rsidRPr="00C2039B" w:rsidRDefault="00B76A30" w:rsidP="00B76A30">
            <w:pPr>
              <w:widowControl w:val="0"/>
              <w:numPr>
                <w:ilvl w:val="1"/>
                <w:numId w:val="2"/>
              </w:numPr>
              <w:tabs>
                <w:tab w:val="clear" w:pos="432"/>
                <w:tab w:val="num" w:pos="343"/>
              </w:tabs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Prezentul Acord se 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ncheie pe termen nelimitat, acesta put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nd 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nceta fie cu acordul P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ilor,  la data stabilit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c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acestea, fie prin denun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are unilateral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acestuia de c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oricare dintre P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i, cu un preaviz de cel pu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 15 zile lucr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toare trimis 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nainte de data 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ncet</w:t>
            </w:r>
            <w:r w:rsidR="000C50AF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rii.</w:t>
            </w:r>
          </w:p>
          <w:p w14:paraId="0955FB76" w14:textId="24C0A745" w:rsidR="00FB0DAE" w:rsidRPr="00C2039B" w:rsidRDefault="004141A7" w:rsidP="004141A7">
            <w:pPr>
              <w:widowControl w:val="0"/>
              <w:numPr>
                <w:ilvl w:val="1"/>
                <w:numId w:val="2"/>
              </w:numPr>
              <w:tabs>
                <w:tab w:val="clear" w:pos="432"/>
                <w:tab w:val="left" w:pos="433"/>
              </w:tabs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cazul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una din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ncalc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obliga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de confiden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ialitate din prezentul Acord, cealalt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Parte poate declara rezilierea unilateral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Acordului, prin simpla notificare scris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reziliere transmis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 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culp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f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punere 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rziere 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f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nicio alt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formalitate judiciar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sau extrajudiciar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conform dispozi</w:t>
            </w:r>
            <w:r w:rsidR="00194C1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iilor art.1553 Cod Civil privind pactul comisoriu.</w:t>
            </w:r>
          </w:p>
          <w:p w14:paraId="429C9923" w14:textId="627166B9" w:rsidR="00FB0DAE" w:rsidRPr="00C2039B" w:rsidRDefault="00194C1E" w:rsidP="00194C1E">
            <w:pPr>
              <w:widowControl w:val="0"/>
              <w:numPr>
                <w:ilvl w:val="1"/>
                <w:numId w:val="2"/>
              </w:numPr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cazul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una dintre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nu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ndepline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 obliga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iile contractuale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dac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nu exist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alte prevederi exprese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Acord care 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reglementeze conduita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ilor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respectiva situa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ie, cealalt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Parte va notifica Partea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culp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cu privire la neexecutare, prin transmiterea unei scrisori recomandate cu confirmare de primire,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care va indica perioada pe care Partea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culp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o are la dispozi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 pentru executarea obliga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iei contractuale. Data la care Partea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culp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prime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te scrisoarea va fi considerat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data punerii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rziere a acesteia. Dac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Partea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culp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se afl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drept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rziere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conformitate cu prevederile legale sau ale prezentului Acord, sau dac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termenul indicat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notificare Partea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culp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nu execut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corespunzator obliga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 contractual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, Partea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ndrepta</w:t>
            </w:r>
            <w:r w:rsidR="0048201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it</w:t>
            </w:r>
            <w:r w:rsidR="0048201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poate transmite o notificare scris</w:t>
            </w:r>
            <w:r w:rsidR="0048201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prin care va declara rezilierea unilateral</w:t>
            </w:r>
            <w:r w:rsidR="0048201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Acordului. Participantul este pus de drept </w:t>
            </w:r>
            <w:r w:rsidR="0048201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</w:t>
            </w:r>
            <w:r w:rsidR="0048201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</w:t>
            </w:r>
            <w:r w:rsidR="0048201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rziere </w:t>
            </w:r>
            <w:r w:rsidR="0048201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cazurile </w:t>
            </w:r>
            <w:r w:rsidR="0048201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i se suspend</w:t>
            </w:r>
            <w:r w:rsidR="0048201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dreptul de tranzac</w:t>
            </w:r>
            <w:r w:rsidR="00482014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ionare, conform prezentului Acord.</w:t>
            </w:r>
          </w:p>
          <w:p w14:paraId="0CABA132" w14:textId="67C4BB68" w:rsidR="00FB0DAE" w:rsidRPr="00C2039B" w:rsidRDefault="00FB0DAE" w:rsidP="008039AC">
            <w:pPr>
              <w:widowControl w:val="0"/>
              <w:numPr>
                <w:ilvl w:val="1"/>
                <w:numId w:val="2"/>
              </w:numPr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Revocarea de c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Participant a Mandatului de debitare direct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acordat BRM conduce la 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ncetarea automat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prezentului Acord, f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nicio alt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formalitate judiciar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sau extrajudiciar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Participantul urm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 a fi r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spunz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 fa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BRM 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i/sau orice al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Participan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sau ter</w:t>
            </w:r>
            <w:r w:rsidR="00517DF5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pentru eventualele prejudicii create.</w:t>
            </w:r>
          </w:p>
          <w:p w14:paraId="2F53A799" w14:textId="77B82A24" w:rsidR="00FB0DAE" w:rsidRPr="00C2039B" w:rsidRDefault="00FB0DAE" w:rsidP="00FB0DAE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459"/>
                <w:tab w:val="num" w:pos="972"/>
              </w:tabs>
              <w:autoSpaceDE w:val="0"/>
              <w:autoSpaceDN w:val="0"/>
              <w:adjustRightInd w:val="0"/>
              <w:spacing w:after="200" w:line="276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LEGE </w:t>
            </w:r>
            <w:r w:rsidR="00517DF5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 JURISDIC</w:t>
            </w:r>
            <w:r w:rsidR="00517DF5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IE</w:t>
            </w:r>
          </w:p>
          <w:p w14:paraId="37516768" w14:textId="32B61D1B" w:rsidR="00FB0DAE" w:rsidRPr="00C2039B" w:rsidRDefault="00FB0DAE" w:rsidP="00FB0DAE">
            <w:pPr>
              <w:widowControl w:val="0"/>
              <w:numPr>
                <w:ilvl w:val="1"/>
                <w:numId w:val="2"/>
              </w:numPr>
              <w:tabs>
                <w:tab w:val="left" w:pos="814"/>
              </w:tabs>
              <w:spacing w:after="200" w:line="276" w:lineRule="auto"/>
              <w:ind w:left="814" w:hanging="8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Prezentul Acord este guvernat de 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va fi interpretat 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conformitate cu legea rom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. </w:t>
            </w:r>
          </w:p>
          <w:p w14:paraId="48F8DDEB" w14:textId="5FCAEC5E" w:rsidR="00FB0DAE" w:rsidRDefault="00FB0DAE" w:rsidP="0024614A">
            <w:pPr>
              <w:widowControl w:val="0"/>
              <w:numPr>
                <w:ilvl w:val="1"/>
                <w:numId w:val="2"/>
              </w:numPr>
              <w:tabs>
                <w:tab w:val="left" w:pos="523"/>
              </w:tabs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Orice disput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ntre P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n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scut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din sau 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legatur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cu 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ncheierea, validitatea, interpretarea,  executarea sau 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ncetarea prezentului Acord va fi rezolvat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pe cale amiabil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Toate ne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ntelegerile/disputele care nu pot fi rezolvate pe cale amiabil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ntre P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ți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ntr-un interval de 30 de zile de la notificarea ini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ial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diferendului vor fi solu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ionate de c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instan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ele judec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tore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 competente din Bucure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ti.</w:t>
            </w:r>
          </w:p>
          <w:p w14:paraId="06DACCA9" w14:textId="77777777" w:rsidR="00687EF2" w:rsidRPr="00C2039B" w:rsidRDefault="00687EF2" w:rsidP="00687EF2">
            <w:pPr>
              <w:widowControl w:val="0"/>
              <w:tabs>
                <w:tab w:val="left" w:pos="52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14:paraId="0E6651BF" w14:textId="2C8F839E" w:rsidR="00FB0DAE" w:rsidRPr="00C2039B" w:rsidRDefault="00FB0DAE" w:rsidP="00FB0DAE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459"/>
                <w:tab w:val="num" w:pos="972"/>
              </w:tabs>
              <w:autoSpaceDE w:val="0"/>
              <w:autoSpaceDN w:val="0"/>
              <w:adjustRightInd w:val="0"/>
              <w:spacing w:after="200" w:line="276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lastRenderedPageBreak/>
              <w:t>NOTIFIC</w:t>
            </w:r>
            <w:r w:rsidR="0024614A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RI </w:t>
            </w:r>
            <w:r w:rsidR="0024614A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 CORESPONDEN</w:t>
            </w:r>
            <w:r w:rsidR="0024614A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A </w:t>
            </w:r>
            <w:r w:rsidR="0024614A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NTRE P</w:t>
            </w:r>
            <w:r w:rsidR="0024614A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R</w:t>
            </w:r>
            <w:r w:rsidR="0024614A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ILE SEMNATARE</w:t>
            </w:r>
          </w:p>
          <w:p w14:paraId="065AC9E8" w14:textId="78F14F44" w:rsidR="00FB0DAE" w:rsidRPr="00C2039B" w:rsidRDefault="0024614A" w:rsidP="0024614A">
            <w:pPr>
              <w:widowControl w:val="0"/>
              <w:numPr>
                <w:ilvl w:val="1"/>
                <w:numId w:val="2"/>
              </w:numPr>
              <w:tabs>
                <w:tab w:val="left" w:pos="253"/>
              </w:tabs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acceptiunea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ilor, orice notificare/coresponden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adresat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o Parte celeilalte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este valabil comunicat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este predat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sau transmis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adresa men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prezentul Acord.</w:t>
            </w:r>
          </w:p>
          <w:p w14:paraId="640081A0" w14:textId="6B832EFA" w:rsidR="00FB0DAE" w:rsidRPr="00C2039B" w:rsidRDefault="00FB0DAE" w:rsidP="0024614A">
            <w:pPr>
              <w:widowControl w:val="0"/>
              <w:numPr>
                <w:ilvl w:val="1"/>
                <w:numId w:val="2"/>
              </w:numPr>
              <w:tabs>
                <w:tab w:val="left" w:pos="523"/>
              </w:tabs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Notificarea/ coresponden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se transmite prin po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/curierat cu scrisoare recomandat</w:t>
            </w:r>
            <w:r w:rsidR="0024614A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cu confirmare de primire, prin e-mail sau fax.</w:t>
            </w:r>
          </w:p>
          <w:p w14:paraId="0279C7BF" w14:textId="4336A188" w:rsidR="00FB0DAE" w:rsidRPr="00C2039B" w:rsidRDefault="00FB0DAE" w:rsidP="006A1312">
            <w:pPr>
              <w:widowControl w:val="0"/>
              <w:numPr>
                <w:ilvl w:val="1"/>
                <w:numId w:val="2"/>
              </w:numPr>
              <w:tabs>
                <w:tab w:val="left" w:pos="163"/>
              </w:tabs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Notificarea/ coresponden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transmise prin po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cu scrisoare recomandat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cu confirmare de primire, se consider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primit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data semn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de c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tre destinatar a confirm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de primire. Notificarea/ coresponden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transmis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prin e-mail sau fax se consider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primit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data recep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rii confirm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rii de primire, 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cazul 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aceasta a fost emis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nainte de orele 15:00 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orice zi lucr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toare; 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cazul 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confirmarea a fost emis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dup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orele 15:00 sau 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ntr-o zi nelucr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toare, notificarea/coresponden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se consider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primit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prima zi lucr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 care urmeaz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dup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data emiterii confirm</w:t>
            </w:r>
            <w:r w:rsidR="006A1312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rii. </w:t>
            </w:r>
          </w:p>
          <w:p w14:paraId="14F09E17" w14:textId="2C84B530" w:rsidR="00FB0DAE" w:rsidRPr="00C2039B" w:rsidRDefault="00FB0DAE" w:rsidP="00FC588C">
            <w:pPr>
              <w:widowControl w:val="0"/>
              <w:numPr>
                <w:ilvl w:val="1"/>
                <w:numId w:val="2"/>
              </w:numPr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Adresele de notificare, numerele de fax </w:t>
            </w:r>
            <w:r w:rsidR="00FC588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telefon la care se vor transmite </w:t>
            </w:r>
            <w:r w:rsidR="00FC588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mod valabil coresponden</w:t>
            </w:r>
            <w:r w:rsidR="00FC588C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sunt:</w:t>
            </w:r>
          </w:p>
          <w:p w14:paraId="6DED9892" w14:textId="77777777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num" w:pos="459"/>
                <w:tab w:val="left" w:pos="900"/>
                <w:tab w:val="num" w:pos="972"/>
              </w:tabs>
              <w:autoSpaceDE w:val="0"/>
              <w:autoSpaceDN w:val="0"/>
              <w:adjustRightInd w:val="0"/>
              <w:spacing w:after="200" w:line="276" w:lineRule="auto"/>
              <w:ind w:left="432" w:firstLine="38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pentru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BRM:</w:t>
            </w:r>
          </w:p>
          <w:tbl>
            <w:tblPr>
              <w:tblpPr w:leftFromText="180" w:rightFromText="180" w:vertAnchor="text" w:horzAnchor="margin" w:tblpY="15"/>
              <w:tblOverlap w:val="never"/>
              <w:tblW w:w="9214" w:type="dxa"/>
              <w:tblBorders>
                <w:bottom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0"/>
              <w:gridCol w:w="6984"/>
            </w:tblGrid>
            <w:tr w:rsidR="00FB0DAE" w:rsidRPr="00C2039B" w14:paraId="3CBF7D89" w14:textId="77777777" w:rsidTr="002B3D86">
              <w:trPr>
                <w:cantSplit/>
                <w:trHeight w:val="287"/>
              </w:trPr>
              <w:tc>
                <w:tcPr>
                  <w:tcW w:w="2230" w:type="dxa"/>
                </w:tcPr>
                <w:p w14:paraId="4F02FD11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firstLine="769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Adresa:</w:t>
                  </w:r>
                </w:p>
              </w:tc>
              <w:tc>
                <w:tcPr>
                  <w:tcW w:w="6984" w:type="dxa"/>
                  <w:tcBorders>
                    <w:bottom w:val="single" w:sz="4" w:space="0" w:color="auto"/>
                    <w:right w:val="nil"/>
                  </w:tcBorders>
                </w:tcPr>
                <w:p w14:paraId="40B361E6" w14:textId="7B799810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firstLine="769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Str. Buze</w:t>
                  </w:r>
                  <w:r w:rsidR="00FC588C"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</w:t>
                  </w: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ti nr. </w:t>
                  </w:r>
                  <w:r w:rsidR="00FC588C"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82</w:t>
                  </w: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-</w:t>
                  </w:r>
                  <w:r w:rsidR="00FC588C"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</w:t>
                  </w: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, Bucure</w:t>
                  </w:r>
                  <w:r w:rsidR="00FC588C"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</w:t>
                  </w: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ti, Romania</w:t>
                  </w:r>
                </w:p>
              </w:tc>
            </w:tr>
            <w:tr w:rsidR="00FB0DAE" w:rsidRPr="00C2039B" w14:paraId="60566DF3" w14:textId="77777777" w:rsidTr="002B3D86">
              <w:trPr>
                <w:cantSplit/>
                <w:trHeight w:val="287"/>
              </w:trPr>
              <w:tc>
                <w:tcPr>
                  <w:tcW w:w="2230" w:type="dxa"/>
                </w:tcPr>
                <w:p w14:paraId="193FC777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firstLine="769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Telefon:</w:t>
                  </w:r>
                </w:p>
              </w:tc>
              <w:tc>
                <w:tcPr>
                  <w:tcW w:w="69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ED3D9C7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firstLine="769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203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021 317 4560 </w:t>
                  </w:r>
                </w:p>
              </w:tc>
            </w:tr>
            <w:tr w:rsidR="00FB0DAE" w:rsidRPr="007A4C72" w14:paraId="07761D6F" w14:textId="77777777" w:rsidTr="002B3D86">
              <w:trPr>
                <w:cantSplit/>
                <w:trHeight w:val="287"/>
              </w:trPr>
              <w:tc>
                <w:tcPr>
                  <w:tcW w:w="2230" w:type="dxa"/>
                </w:tcPr>
                <w:p w14:paraId="6EC4E821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firstLine="769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Email:</w:t>
                  </w:r>
                </w:p>
              </w:tc>
              <w:tc>
                <w:tcPr>
                  <w:tcW w:w="69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0A2690" w14:textId="7945B5EF" w:rsidR="00FB0DAE" w:rsidRPr="00C2039B" w:rsidRDefault="00F670B7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firstLine="769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hyperlink r:id="rId8" w:history="1">
                    <w:r w:rsidR="00FB0DAE" w:rsidRPr="00C203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o-RO" w:eastAsia="ro-RO"/>
                      </w:rPr>
                      <w:t>office@brm.ro</w:t>
                    </w:r>
                  </w:hyperlink>
                  <w:r w:rsidR="001341B6" w:rsidRPr="00C2039B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ro-RO" w:eastAsia="ro-RO"/>
                    </w:rPr>
                    <w:t xml:space="preserve"> si gaze@brm.ro</w:t>
                  </w:r>
                </w:p>
              </w:tc>
            </w:tr>
          </w:tbl>
          <w:p w14:paraId="5953EADD" w14:textId="77777777" w:rsidR="00FB0DAE" w:rsidRPr="00C2039B" w:rsidRDefault="00FB0DAE" w:rsidP="00FB0DAE">
            <w:pPr>
              <w:widowControl w:val="0"/>
              <w:tabs>
                <w:tab w:val="num" w:pos="810"/>
                <w:tab w:val="left" w:pos="900"/>
                <w:tab w:val="num" w:pos="972"/>
              </w:tabs>
              <w:autoSpaceDE w:val="0"/>
              <w:autoSpaceDN w:val="0"/>
              <w:adjustRightInd w:val="0"/>
              <w:spacing w:after="200" w:line="276" w:lineRule="auto"/>
              <w:ind w:left="81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  <w:p w14:paraId="0365FB54" w14:textId="77777777" w:rsidR="00FB0DAE" w:rsidRPr="00C2039B" w:rsidRDefault="00FB0DAE" w:rsidP="00FB0DAE">
            <w:pPr>
              <w:widowControl w:val="0"/>
              <w:tabs>
                <w:tab w:val="num" w:pos="810"/>
                <w:tab w:val="left" w:pos="900"/>
                <w:tab w:val="num" w:pos="972"/>
              </w:tabs>
              <w:autoSpaceDE w:val="0"/>
              <w:autoSpaceDN w:val="0"/>
              <w:adjustRightInd w:val="0"/>
              <w:spacing w:after="200" w:line="276" w:lineRule="auto"/>
              <w:ind w:left="81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  <w:p w14:paraId="7A676D39" w14:textId="77777777" w:rsidR="00FB0DAE" w:rsidRPr="00C2039B" w:rsidRDefault="00FB0DAE" w:rsidP="00FB0DAE">
            <w:pPr>
              <w:widowControl w:val="0"/>
              <w:tabs>
                <w:tab w:val="num" w:pos="810"/>
                <w:tab w:val="left" w:pos="900"/>
                <w:tab w:val="num" w:pos="972"/>
              </w:tabs>
              <w:autoSpaceDE w:val="0"/>
              <w:autoSpaceDN w:val="0"/>
              <w:adjustRightInd w:val="0"/>
              <w:spacing w:after="200" w:line="276" w:lineRule="auto"/>
              <w:ind w:left="81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  <w:p w14:paraId="6CD62E3F" w14:textId="77777777" w:rsidR="00FB0DAE" w:rsidRPr="00C2039B" w:rsidRDefault="00FB0DAE" w:rsidP="00FB0DAE">
            <w:pPr>
              <w:widowControl w:val="0"/>
              <w:tabs>
                <w:tab w:val="num" w:pos="810"/>
                <w:tab w:val="left" w:pos="900"/>
                <w:tab w:val="num" w:pos="972"/>
              </w:tabs>
              <w:autoSpaceDE w:val="0"/>
              <w:autoSpaceDN w:val="0"/>
              <w:adjustRightInd w:val="0"/>
              <w:spacing w:after="200" w:line="276" w:lineRule="auto"/>
              <w:ind w:left="81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  <w:p w14:paraId="6FB9218B" w14:textId="77777777" w:rsidR="00FB0DAE" w:rsidRPr="00C2039B" w:rsidRDefault="00FB0DAE" w:rsidP="00FB0DAE">
            <w:pPr>
              <w:widowControl w:val="0"/>
              <w:numPr>
                <w:ilvl w:val="2"/>
                <w:numId w:val="2"/>
              </w:numPr>
              <w:tabs>
                <w:tab w:val="num" w:pos="459"/>
                <w:tab w:val="left" w:pos="900"/>
                <w:tab w:val="num" w:pos="972"/>
              </w:tabs>
              <w:autoSpaceDE w:val="0"/>
              <w:autoSpaceDN w:val="0"/>
              <w:adjustRightInd w:val="0"/>
              <w:spacing w:after="200" w:line="276" w:lineRule="auto"/>
              <w:ind w:left="432" w:firstLine="38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pentru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Participant:</w:t>
            </w:r>
          </w:p>
          <w:tbl>
            <w:tblPr>
              <w:tblpPr w:leftFromText="180" w:rightFromText="180" w:vertAnchor="text" w:horzAnchor="margin" w:tblpX="1276" w:tblpY="15"/>
              <w:tblOverlap w:val="never"/>
              <w:tblW w:w="7797" w:type="dxa"/>
              <w:tblBorders>
                <w:bottom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0"/>
              <w:gridCol w:w="5567"/>
            </w:tblGrid>
            <w:tr w:rsidR="00FB0DAE" w:rsidRPr="00C2039B" w14:paraId="718411CE" w14:textId="77777777" w:rsidTr="002B3D86">
              <w:trPr>
                <w:cantSplit/>
                <w:trHeight w:val="287"/>
              </w:trPr>
              <w:tc>
                <w:tcPr>
                  <w:tcW w:w="2230" w:type="dxa"/>
                </w:tcPr>
                <w:p w14:paraId="2C48B8AD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hanging="432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Adresa:</w:t>
                  </w:r>
                </w:p>
              </w:tc>
              <w:tc>
                <w:tcPr>
                  <w:tcW w:w="5567" w:type="dxa"/>
                  <w:tcBorders>
                    <w:bottom w:val="single" w:sz="4" w:space="0" w:color="auto"/>
                    <w:right w:val="nil"/>
                  </w:tcBorders>
                </w:tcPr>
                <w:p w14:paraId="7CE17CF7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hanging="432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FB0DAE" w:rsidRPr="00C2039B" w14:paraId="62A7F848" w14:textId="77777777" w:rsidTr="002B3D86">
              <w:trPr>
                <w:cantSplit/>
                <w:trHeight w:val="287"/>
              </w:trPr>
              <w:tc>
                <w:tcPr>
                  <w:tcW w:w="2230" w:type="dxa"/>
                </w:tcPr>
                <w:p w14:paraId="72ABF243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hanging="432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Telefon:</w:t>
                  </w:r>
                </w:p>
              </w:tc>
              <w:tc>
                <w:tcPr>
                  <w:tcW w:w="556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979D9DE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hanging="432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FB0DAE" w:rsidRPr="00C2039B" w14:paraId="58C9B204" w14:textId="77777777" w:rsidTr="002B3D86">
              <w:trPr>
                <w:cantSplit/>
                <w:trHeight w:val="287"/>
              </w:trPr>
              <w:tc>
                <w:tcPr>
                  <w:tcW w:w="2230" w:type="dxa"/>
                </w:tcPr>
                <w:p w14:paraId="60ECCBCE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hanging="432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Fax:</w:t>
                  </w:r>
                </w:p>
              </w:tc>
              <w:tc>
                <w:tcPr>
                  <w:tcW w:w="556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7537C05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hanging="432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FB0DAE" w:rsidRPr="00C2039B" w14:paraId="25306957" w14:textId="77777777" w:rsidTr="002B3D86">
              <w:trPr>
                <w:cantSplit/>
                <w:trHeight w:val="287"/>
              </w:trPr>
              <w:tc>
                <w:tcPr>
                  <w:tcW w:w="2230" w:type="dxa"/>
                </w:tcPr>
                <w:p w14:paraId="4CBF3A5D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hanging="432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Email:</w:t>
                  </w:r>
                </w:p>
              </w:tc>
              <w:tc>
                <w:tcPr>
                  <w:tcW w:w="556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F2EE5BD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hanging="432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FB0DAE" w:rsidRPr="00C2039B" w14:paraId="72C48F22" w14:textId="77777777" w:rsidTr="002B3D86">
              <w:trPr>
                <w:cantSplit/>
                <w:trHeight w:val="287"/>
              </w:trPr>
              <w:tc>
                <w:tcPr>
                  <w:tcW w:w="2230" w:type="dxa"/>
                  <w:tcBorders>
                    <w:bottom w:val="nil"/>
                  </w:tcBorders>
                </w:tcPr>
                <w:p w14:paraId="4D45F4BD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hanging="432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20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Persoana de contact:</w:t>
                  </w:r>
                </w:p>
              </w:tc>
              <w:tc>
                <w:tcPr>
                  <w:tcW w:w="556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FCAD11A" w14:textId="77777777" w:rsidR="00FB0DAE" w:rsidRPr="00C2039B" w:rsidRDefault="00FB0DAE" w:rsidP="00FB0DAE">
                  <w:pPr>
                    <w:widowControl w:val="0"/>
                    <w:tabs>
                      <w:tab w:val="num" w:pos="459"/>
                    </w:tabs>
                    <w:spacing w:after="200" w:line="276" w:lineRule="auto"/>
                    <w:ind w:left="432" w:hanging="432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79B4107F" w14:textId="77777777" w:rsidR="00FB0DAE" w:rsidRPr="00C2039B" w:rsidRDefault="00FB0DAE" w:rsidP="00FB0DAE">
            <w:pPr>
              <w:widowControl w:val="0"/>
              <w:tabs>
                <w:tab w:val="left" w:pos="814"/>
              </w:tabs>
              <w:spacing w:after="200" w:line="276" w:lineRule="auto"/>
              <w:ind w:left="814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  <w:p w14:paraId="0BE9CFCD" w14:textId="12EA2233" w:rsidR="00FB0DAE" w:rsidRPr="00687EF2" w:rsidRDefault="00FB0DAE" w:rsidP="00477C48">
            <w:pPr>
              <w:widowControl w:val="0"/>
              <w:numPr>
                <w:ilvl w:val="1"/>
                <w:numId w:val="2"/>
              </w:numPr>
              <w:tabs>
                <w:tab w:val="left" w:pos="163"/>
              </w:tabs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Schimbarea adreselor postale, a adreselor de email sau a num</w:t>
            </w:r>
            <w:r w:rsidR="00477C4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rului de fax/telefon nu este opozabil</w:t>
            </w:r>
            <w:r w:rsidR="00477C4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dec</w:t>
            </w:r>
            <w:r w:rsidR="00477C4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 dup</w:t>
            </w:r>
            <w:r w:rsidR="00477C4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trecerea a cel pu</w:t>
            </w:r>
            <w:r w:rsidR="00477C4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in 5 zile lucr</w:t>
            </w:r>
            <w:r w:rsidR="00477C4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toare de la data la care s-a primit notificarea privind schimbarea adreselor po</w:t>
            </w:r>
            <w:r w:rsidR="00477C4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tale, a adreselor de email sau a num</w:t>
            </w:r>
            <w:r w:rsidR="00477C48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rului de fax/telefon.</w:t>
            </w:r>
          </w:p>
          <w:p w14:paraId="3B2EB7D9" w14:textId="77777777" w:rsidR="00687EF2" w:rsidRPr="00C2039B" w:rsidRDefault="00687EF2" w:rsidP="00687EF2">
            <w:pPr>
              <w:widowControl w:val="0"/>
              <w:tabs>
                <w:tab w:val="left" w:pos="16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  <w:p w14:paraId="23D5A219" w14:textId="661FF26F" w:rsidR="00FB0DAE" w:rsidRPr="00C2039B" w:rsidRDefault="00FB0DAE" w:rsidP="00FB0DAE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462"/>
                <w:tab w:val="num" w:pos="972"/>
              </w:tabs>
              <w:autoSpaceDE w:val="0"/>
              <w:autoSpaceDN w:val="0"/>
              <w:adjustRightInd w:val="0"/>
              <w:spacing w:after="200" w:line="276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lastRenderedPageBreak/>
              <w:t>DISPOZI</w:t>
            </w:r>
            <w:r w:rsidR="00477C48"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II FINALE</w:t>
            </w:r>
          </w:p>
          <w:p w14:paraId="55B85C84" w14:textId="042CC6F1" w:rsidR="00FB0DAE" w:rsidRPr="00C2039B" w:rsidRDefault="00477C48" w:rsidP="00477C48">
            <w:pPr>
              <w:widowControl w:val="0"/>
              <w:numPr>
                <w:ilvl w:val="1"/>
                <w:numId w:val="2"/>
              </w:numPr>
              <w:tabs>
                <w:tab w:val="left" w:pos="523"/>
              </w:tabs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cazul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care </w:t>
            </w:r>
            <w:r w:rsidR="000D1709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reglement</w:t>
            </w:r>
            <w:r w:rsidR="000D17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0D1709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rile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legislative de natur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tehnic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sau opera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 w:rsidDel="00E70E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emise de autorit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ile competente vor impune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ilor obliga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 suplimentare sau modificarea celor stipulate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prezentul Acord,</w:t>
            </w:r>
            <w:r w:rsidR="00D421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BRM va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aduce Acordul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conformitate cu obliga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iile legale</w:t>
            </w:r>
            <w:r w:rsidR="00D421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conform </w:t>
            </w:r>
            <w:r w:rsidR="00FF24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prin modificarea acestuia într-un proces de consultare publică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.</w:t>
            </w:r>
          </w:p>
          <w:p w14:paraId="1CC22014" w14:textId="44D8B1B0" w:rsidR="00FB0DAE" w:rsidRPr="00C2039B" w:rsidRDefault="00CE28F9" w:rsidP="007A4C72">
            <w:pPr>
              <w:widowControl w:val="0"/>
              <w:numPr>
                <w:ilvl w:val="1"/>
                <w:numId w:val="2"/>
              </w:numPr>
              <w:tabs>
                <w:tab w:val="left" w:pos="523"/>
              </w:tabs>
              <w:spacing w:after="200" w:line="276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Părțile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av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nd la cuno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tin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natura opera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iunilor avute 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vedere de prezentul Acord, declar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asum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prin prezentul Acord, riscul schimb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rii 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mprejur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rilor 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care este 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ncheiat acesta, 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conformitate cu art. 1271 al. 3 lit. c) din Codul Civil, 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renun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la invocarea impreviziunii 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legatur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cu acest Acord. </w:t>
            </w:r>
          </w:p>
          <w:p w14:paraId="64C4E8C0" w14:textId="654E13D4" w:rsidR="00583D60" w:rsidRPr="00C2039B" w:rsidRDefault="00583D60" w:rsidP="00583D60">
            <w:pPr>
              <w:widowControl w:val="0"/>
              <w:numPr>
                <w:ilvl w:val="1"/>
                <w:numId w:val="2"/>
              </w:numPr>
              <w:tabs>
                <w:tab w:val="left" w:pos="343"/>
              </w:tabs>
              <w:spacing w:after="200" w:line="276" w:lineRule="auto"/>
              <w:ind w:left="253" w:hanging="2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CE28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Niciuna dintre Părți</w:t>
            </w:r>
            <w:r w:rsidR="00CE28F9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nu va putea 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cesioneze sau 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transmit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unui ter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orice modalitate juridic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vreun drept sau vreo obliga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ie prevazut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prin prezentul Acord sau prezentul Acord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intregime, f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acordul expres,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scris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prealabil al </w:t>
            </w:r>
            <w:r w:rsidR="00CE28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celeilalte Părți</w:t>
            </w:r>
            <w:r w:rsidR="00CE28F9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care nu va fi refuzat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mod nejustificat.</w:t>
            </w:r>
          </w:p>
          <w:p w14:paraId="10F24F0A" w14:textId="5F0A6FF3" w:rsidR="00583D60" w:rsidRPr="00C2039B" w:rsidRDefault="00FB0DAE" w:rsidP="00583D60">
            <w:pPr>
              <w:widowControl w:val="0"/>
              <w:numPr>
                <w:ilvl w:val="1"/>
                <w:numId w:val="2"/>
              </w:numPr>
              <w:tabs>
                <w:tab w:val="left" w:pos="343"/>
              </w:tabs>
              <w:spacing w:after="200" w:line="276" w:lineRule="auto"/>
              <w:ind w:left="253" w:hanging="2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Prin semnarea prezentului Acord, P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ile declar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au luat la cuno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tin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, au 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eles pe deplin 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accept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583D60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mod expres prezentul Acord.</w:t>
            </w:r>
          </w:p>
          <w:p w14:paraId="47DEF81A" w14:textId="77777777" w:rsidR="00583D60" w:rsidRPr="00C2039B" w:rsidRDefault="00583D60" w:rsidP="00583D60">
            <w:pPr>
              <w:widowControl w:val="0"/>
              <w:numPr>
                <w:ilvl w:val="1"/>
                <w:numId w:val="2"/>
              </w:numPr>
              <w:tabs>
                <w:tab w:val="left" w:pos="343"/>
              </w:tabs>
              <w:spacing w:after="200" w:line="276" w:lineRule="auto"/>
              <w:ind w:left="253" w:hanging="2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Prin semnarea Acordului,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ile confirm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faptul 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acesta reflect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mod deplin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ntreaga voin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a acestora cu privire la obiectul Acordului, prevaleaz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fa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orice alte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elegeri,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nscrisuri sau negocieri care au avut loc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ntre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nainte de semnarea acesteia, precum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faptul 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nu exist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niciun fel de elemente secundare legate de Acord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elegerea dintre P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care 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nu fi fost reflectate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Acord. </w:t>
            </w:r>
          </w:p>
          <w:p w14:paraId="44D6FFC5" w14:textId="16CF5F35" w:rsidR="00583D60" w:rsidRPr="00C2039B" w:rsidRDefault="00583D60" w:rsidP="00583D60">
            <w:pPr>
              <w:widowControl w:val="0"/>
              <w:numPr>
                <w:ilvl w:val="1"/>
                <w:numId w:val="2"/>
              </w:numPr>
              <w:tabs>
                <w:tab w:val="left" w:pos="343"/>
              </w:tabs>
              <w:spacing w:after="200" w:line="276" w:lineRule="auto"/>
              <w:ind w:left="253" w:hanging="2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De asemenea, </w:t>
            </w:r>
            <w:r w:rsidR="00215D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Părțile</w:t>
            </w:r>
            <w:r w:rsidR="00215D09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confirm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ca </w:t>
            </w:r>
            <w:r w:rsidR="00215D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sunt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pe deplin de acord cu prevederile Acordului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conformitate cu art. 1.203 Cod Civil, accept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mod expres clauzele din Acord privind limitarea r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spunderi, dreptul de a denun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a unilateral Acordul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de a suspenda executarea obliga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iilor sale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condi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iile prevazute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Acord, clauzele care prev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 dec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derea din drepturi ori din beneficiul termenului, precum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clauzele privitoare la competen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 instan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elor judec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tore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ti.</w:t>
            </w:r>
          </w:p>
          <w:p w14:paraId="458B0C1E" w14:textId="77777777" w:rsidR="00583D60" w:rsidRPr="00C2039B" w:rsidRDefault="00583D60" w:rsidP="00583D60">
            <w:pPr>
              <w:widowControl w:val="0"/>
              <w:numPr>
                <w:ilvl w:val="1"/>
                <w:numId w:val="2"/>
              </w:numPr>
              <w:tabs>
                <w:tab w:val="left" w:pos="343"/>
              </w:tabs>
              <w:spacing w:after="200" w:line="276" w:lineRule="auto"/>
              <w:ind w:left="253" w:hanging="2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cazul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care una dintre prevederile Acordului este lipsit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valabilitate sau inaplicabil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sub orice aspect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n conformitate cu legile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reglement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rile aplicabile, valabilitatea, legalitatea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aplicabilitatea celorlalte prevederi ale Acordului nu va fi afectat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niciun fel de aceasta, iar Acordul va continua 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produc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efectele. Prevederile lipsite de valabilitate sau inaplicabile vor fi considerate ca fiind substituite cu o prevedere adecvat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echitabil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care,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masura permis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lege, este cat mai aproape posibil de inten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ia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scopul prevederii lipsite de valabilitate sau inaplicabile.</w:t>
            </w:r>
          </w:p>
          <w:p w14:paraId="0B8DC560" w14:textId="6A342739" w:rsidR="00FB0DAE" w:rsidRPr="00C2039B" w:rsidRDefault="00583D60" w:rsidP="00583D60">
            <w:pPr>
              <w:widowControl w:val="0"/>
              <w:numPr>
                <w:ilvl w:val="1"/>
                <w:numId w:val="2"/>
              </w:numPr>
              <w:tabs>
                <w:tab w:val="left" w:pos="343"/>
              </w:tabs>
              <w:spacing w:after="200" w:line="276" w:lineRule="auto"/>
              <w:ind w:left="253" w:hanging="2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Prezentul Acordul se completeaz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cu prevederile legale imperative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materie de debitare direct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, a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a cum acestea pot varia din timp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 timp, cu cele ale Regulamentului privind cadrul organizat de tranzac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ionarea produselor standardizate pe pie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ele centralizate de gaze naturale administrate de societatea Bursa Rom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M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rfuri (Romanian Commodities Exchange) S.A., aprobat prin Ordin al ANRE,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i ale Procedurii de organizare 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 func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ionare a pie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ei produselor standardizate pe termen scurt, 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lastRenderedPageBreak/>
              <w:t>administrat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Societatea Bursa Rom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ț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M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rfuri (Romanian Commodities Exchange) S.A., avizat</w:t>
            </w:r>
            <w:r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FB0DAE" w:rsidRPr="00C203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de ANRE.</w:t>
            </w:r>
          </w:p>
          <w:p w14:paraId="58D99FA2" w14:textId="5A3EEED9" w:rsidR="00FB0DAE" w:rsidRPr="00C2039B" w:rsidRDefault="00FB0DAE" w:rsidP="00583D60">
            <w:pPr>
              <w:widowControl w:val="0"/>
              <w:spacing w:after="200" w:line="276" w:lineRule="auto"/>
              <w:ind w:left="253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Prezentul</w:t>
            </w:r>
            <w:r w:rsidRPr="00C20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Acord s-a semnat ast</w:t>
            </w:r>
            <w:r w:rsidR="00686BC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zi,_________________ </w:t>
            </w:r>
            <w:r w:rsidR="00583D60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 2 exemplare, c</w:t>
            </w:r>
            <w:r w:rsidR="00583D60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 unul pentru fiecare Parte semnatar</w:t>
            </w:r>
            <w:r w:rsidR="00583D60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83D60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583D60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îș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va produce efectele </w:t>
            </w:r>
            <w:r w:rsidR="00583D60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ncep</w:t>
            </w:r>
            <w:r w:rsidR="00583D60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nd cu data semn</w:t>
            </w:r>
            <w:r w:rsidR="00583D60"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rii.</w:t>
            </w:r>
          </w:p>
          <w:p w14:paraId="73C6B8B9" w14:textId="77777777" w:rsidR="005C1B59" w:rsidRPr="00C2039B" w:rsidRDefault="005C1B59" w:rsidP="005C1B59">
            <w:pPr>
              <w:widowControl w:val="0"/>
              <w:tabs>
                <w:tab w:val="num" w:pos="-3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29A97DA1" w14:textId="77777777" w:rsidR="005C1B59" w:rsidRPr="00C2039B" w:rsidRDefault="005C1B59" w:rsidP="005C1B59">
            <w:pPr>
              <w:widowControl w:val="0"/>
              <w:tabs>
                <w:tab w:val="num" w:pos="-3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Reprezentant legal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  <w:t xml:space="preserve">                                       Reprezentant legal</w:t>
            </w:r>
          </w:p>
          <w:p w14:paraId="2FCDE6B0" w14:textId="66455D08" w:rsidR="00FB0DAE" w:rsidRPr="00C2039B" w:rsidRDefault="005C1B59" w:rsidP="005C1B59">
            <w:pPr>
              <w:widowControl w:val="0"/>
              <w:tabs>
                <w:tab w:val="num" w:pos="-3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Bursa Română de Mărfuri – S.A.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  <w:t xml:space="preserve">                                </w:t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C2039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  <w:t>Participant .....................................…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8"/>
              <w:gridCol w:w="4509"/>
            </w:tblGrid>
            <w:tr w:rsidR="00FB0DAE" w:rsidRPr="00C2039B" w14:paraId="4C96486B" w14:textId="77777777" w:rsidTr="002B3D86">
              <w:tc>
                <w:tcPr>
                  <w:tcW w:w="4508" w:type="dxa"/>
                </w:tcPr>
                <w:p w14:paraId="32211ADC" w14:textId="48AA7D5F" w:rsidR="00FB0DAE" w:rsidRPr="00C2039B" w:rsidRDefault="00FB0DAE" w:rsidP="00FB0DA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</w:tcPr>
                <w:p w14:paraId="5C232D86" w14:textId="665AE906" w:rsidR="00FB0DAE" w:rsidRPr="00C2039B" w:rsidRDefault="00FB0DAE" w:rsidP="00FB0DAE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C650970" w14:textId="77777777" w:rsidR="00FB0DAE" w:rsidRPr="007A4C72" w:rsidRDefault="00FB0DAE" w:rsidP="00FB0DAE">
            <w:pPr>
              <w:widowControl w:val="0"/>
              <w:tabs>
                <w:tab w:val="num" w:pos="459"/>
                <w:tab w:val="left" w:pos="4678"/>
              </w:tabs>
              <w:spacing w:after="200" w:line="276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76C5497" w14:textId="20133EC3" w:rsidR="004649F4" w:rsidRPr="00F670B7" w:rsidRDefault="004649F4" w:rsidP="00F670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4649F4" w:rsidRPr="00F670B7" w:rsidSect="00D574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3664" w14:textId="77777777" w:rsidR="00E36049" w:rsidRDefault="00E36049" w:rsidP="00FB5AB0">
      <w:pPr>
        <w:spacing w:after="0" w:line="240" w:lineRule="auto"/>
      </w:pPr>
      <w:r>
        <w:separator/>
      </w:r>
    </w:p>
  </w:endnote>
  <w:endnote w:type="continuationSeparator" w:id="0">
    <w:p w14:paraId="7C9A614A" w14:textId="77777777" w:rsidR="00E36049" w:rsidRDefault="00E36049" w:rsidP="00FB5AB0">
      <w:pPr>
        <w:spacing w:after="0" w:line="240" w:lineRule="auto"/>
      </w:pPr>
      <w:r>
        <w:continuationSeparator/>
      </w:r>
    </w:p>
  </w:endnote>
  <w:endnote w:type="continuationNotice" w:id="1">
    <w:p w14:paraId="321C5830" w14:textId="77777777" w:rsidR="00E36049" w:rsidRDefault="00E36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218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CC775" w14:textId="3C131AD2" w:rsidR="00D574F1" w:rsidRDefault="00D574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B1496" w14:textId="33F12CA0" w:rsidR="00FB5AB0" w:rsidRDefault="00FB5AB0" w:rsidP="00FB5A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2B1E" w14:textId="77777777" w:rsidR="00E36049" w:rsidRDefault="00E36049" w:rsidP="00FB5AB0">
      <w:pPr>
        <w:spacing w:after="0" w:line="240" w:lineRule="auto"/>
      </w:pPr>
      <w:r>
        <w:separator/>
      </w:r>
    </w:p>
  </w:footnote>
  <w:footnote w:type="continuationSeparator" w:id="0">
    <w:p w14:paraId="5EDE343A" w14:textId="77777777" w:rsidR="00E36049" w:rsidRDefault="00E36049" w:rsidP="00FB5AB0">
      <w:pPr>
        <w:spacing w:after="0" w:line="240" w:lineRule="auto"/>
      </w:pPr>
      <w:r>
        <w:continuationSeparator/>
      </w:r>
    </w:p>
  </w:footnote>
  <w:footnote w:type="continuationNotice" w:id="1">
    <w:p w14:paraId="78E9975B" w14:textId="77777777" w:rsidR="00E36049" w:rsidRDefault="00E36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F94A" w14:textId="77777777" w:rsidR="00DB6976" w:rsidRDefault="00DB6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592"/>
    <w:multiLevelType w:val="hybridMultilevel"/>
    <w:tmpl w:val="42342A5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209E7"/>
    <w:multiLevelType w:val="multilevel"/>
    <w:tmpl w:val="02827A94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52E720A"/>
    <w:multiLevelType w:val="hybridMultilevel"/>
    <w:tmpl w:val="29CE1378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B3773"/>
    <w:multiLevelType w:val="hybridMultilevel"/>
    <w:tmpl w:val="0FA0BB66"/>
    <w:lvl w:ilvl="0" w:tplc="613250B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D52"/>
    <w:multiLevelType w:val="hybridMultilevel"/>
    <w:tmpl w:val="F9EC7C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2444"/>
    <w:multiLevelType w:val="hybridMultilevel"/>
    <w:tmpl w:val="653285FE"/>
    <w:lvl w:ilvl="0" w:tplc="8CECC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54A0668">
      <w:start w:val="1"/>
      <w:numFmt w:val="lowerLetter"/>
      <w:lvlText w:val="%2."/>
      <w:lvlJc w:val="left"/>
      <w:pPr>
        <w:ind w:left="1440" w:hanging="360"/>
      </w:pPr>
    </w:lvl>
    <w:lvl w:ilvl="2" w:tplc="0B1A43A0" w:tentative="1">
      <w:start w:val="1"/>
      <w:numFmt w:val="lowerRoman"/>
      <w:lvlText w:val="%3."/>
      <w:lvlJc w:val="right"/>
      <w:pPr>
        <w:ind w:left="2160" w:hanging="180"/>
      </w:pPr>
    </w:lvl>
    <w:lvl w:ilvl="3" w:tplc="C80E3750" w:tentative="1">
      <w:start w:val="1"/>
      <w:numFmt w:val="decimal"/>
      <w:lvlText w:val="%4."/>
      <w:lvlJc w:val="left"/>
      <w:pPr>
        <w:ind w:left="2880" w:hanging="360"/>
      </w:pPr>
    </w:lvl>
    <w:lvl w:ilvl="4" w:tplc="849AA862" w:tentative="1">
      <w:start w:val="1"/>
      <w:numFmt w:val="lowerLetter"/>
      <w:lvlText w:val="%5."/>
      <w:lvlJc w:val="left"/>
      <w:pPr>
        <w:ind w:left="3600" w:hanging="360"/>
      </w:pPr>
    </w:lvl>
    <w:lvl w:ilvl="5" w:tplc="3552F8DA" w:tentative="1">
      <w:start w:val="1"/>
      <w:numFmt w:val="lowerRoman"/>
      <w:lvlText w:val="%6."/>
      <w:lvlJc w:val="right"/>
      <w:pPr>
        <w:ind w:left="4320" w:hanging="180"/>
      </w:pPr>
    </w:lvl>
    <w:lvl w:ilvl="6" w:tplc="484E372E" w:tentative="1">
      <w:start w:val="1"/>
      <w:numFmt w:val="decimal"/>
      <w:lvlText w:val="%7."/>
      <w:lvlJc w:val="left"/>
      <w:pPr>
        <w:ind w:left="5040" w:hanging="360"/>
      </w:pPr>
    </w:lvl>
    <w:lvl w:ilvl="7" w:tplc="2F3A1EA8" w:tentative="1">
      <w:start w:val="1"/>
      <w:numFmt w:val="lowerLetter"/>
      <w:lvlText w:val="%8."/>
      <w:lvlJc w:val="left"/>
      <w:pPr>
        <w:ind w:left="5760" w:hanging="360"/>
      </w:pPr>
    </w:lvl>
    <w:lvl w:ilvl="8" w:tplc="5CA48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1290446C"/>
    <w:multiLevelType w:val="hybridMultilevel"/>
    <w:tmpl w:val="BEC6435A"/>
    <w:lvl w:ilvl="0" w:tplc="591844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1FCD"/>
    <w:multiLevelType w:val="hybridMultilevel"/>
    <w:tmpl w:val="8DCEA6CC"/>
    <w:lvl w:ilvl="0" w:tplc="FFFFFFFF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D00861"/>
    <w:multiLevelType w:val="hybridMultilevel"/>
    <w:tmpl w:val="1A7ED064"/>
    <w:lvl w:ilvl="0" w:tplc="1C08B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E0FC4" w:tentative="1">
      <w:start w:val="1"/>
      <w:numFmt w:val="lowerLetter"/>
      <w:lvlText w:val="%2."/>
      <w:lvlJc w:val="left"/>
      <w:pPr>
        <w:ind w:left="1080" w:hanging="360"/>
      </w:pPr>
    </w:lvl>
    <w:lvl w:ilvl="2" w:tplc="33CC79CC" w:tentative="1">
      <w:start w:val="1"/>
      <w:numFmt w:val="lowerRoman"/>
      <w:lvlText w:val="%3."/>
      <w:lvlJc w:val="right"/>
      <w:pPr>
        <w:ind w:left="1800" w:hanging="180"/>
      </w:pPr>
    </w:lvl>
    <w:lvl w:ilvl="3" w:tplc="E68C2AF0" w:tentative="1">
      <w:start w:val="1"/>
      <w:numFmt w:val="decimal"/>
      <w:lvlText w:val="%4."/>
      <w:lvlJc w:val="left"/>
      <w:pPr>
        <w:ind w:left="2520" w:hanging="360"/>
      </w:pPr>
    </w:lvl>
    <w:lvl w:ilvl="4" w:tplc="7E10BBFC" w:tentative="1">
      <w:start w:val="1"/>
      <w:numFmt w:val="lowerLetter"/>
      <w:lvlText w:val="%5."/>
      <w:lvlJc w:val="left"/>
      <w:pPr>
        <w:ind w:left="3240" w:hanging="360"/>
      </w:pPr>
    </w:lvl>
    <w:lvl w:ilvl="5" w:tplc="6D527908" w:tentative="1">
      <w:start w:val="1"/>
      <w:numFmt w:val="lowerRoman"/>
      <w:lvlText w:val="%6."/>
      <w:lvlJc w:val="right"/>
      <w:pPr>
        <w:ind w:left="3960" w:hanging="180"/>
      </w:pPr>
    </w:lvl>
    <w:lvl w:ilvl="6" w:tplc="C562EEAE" w:tentative="1">
      <w:start w:val="1"/>
      <w:numFmt w:val="decimal"/>
      <w:lvlText w:val="%7."/>
      <w:lvlJc w:val="left"/>
      <w:pPr>
        <w:ind w:left="4680" w:hanging="360"/>
      </w:pPr>
    </w:lvl>
    <w:lvl w:ilvl="7" w:tplc="0F64E4D2" w:tentative="1">
      <w:start w:val="1"/>
      <w:numFmt w:val="lowerLetter"/>
      <w:lvlText w:val="%8."/>
      <w:lvlJc w:val="left"/>
      <w:pPr>
        <w:ind w:left="5400" w:hanging="360"/>
      </w:pPr>
    </w:lvl>
    <w:lvl w:ilvl="8" w:tplc="CDF6D4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40726"/>
    <w:multiLevelType w:val="hybridMultilevel"/>
    <w:tmpl w:val="25EAC578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1B6B1EB4"/>
    <w:multiLevelType w:val="hybridMultilevel"/>
    <w:tmpl w:val="97E0DE5A"/>
    <w:lvl w:ilvl="0" w:tplc="96BC18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D7332C"/>
    <w:multiLevelType w:val="hybridMultilevel"/>
    <w:tmpl w:val="B220E7A8"/>
    <w:lvl w:ilvl="0" w:tplc="2AE4C2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47B4"/>
    <w:multiLevelType w:val="hybridMultilevel"/>
    <w:tmpl w:val="C056257C"/>
    <w:lvl w:ilvl="0" w:tplc="516E632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28068C"/>
    <w:multiLevelType w:val="hybridMultilevel"/>
    <w:tmpl w:val="653285F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97503"/>
    <w:multiLevelType w:val="hybridMultilevel"/>
    <w:tmpl w:val="05D0493E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006C49"/>
    <w:multiLevelType w:val="multilevel"/>
    <w:tmpl w:val="CB16A468"/>
    <w:name w:val="RS Standa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color w:val="01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8" w15:restartNumberingAfterBreak="0">
    <w:nsid w:val="30F743A6"/>
    <w:multiLevelType w:val="hybridMultilevel"/>
    <w:tmpl w:val="F8AEC9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20" w15:restartNumberingAfterBreak="0">
    <w:nsid w:val="34387E57"/>
    <w:multiLevelType w:val="hybridMultilevel"/>
    <w:tmpl w:val="67F0DD3A"/>
    <w:lvl w:ilvl="0" w:tplc="4432865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907C4"/>
    <w:multiLevelType w:val="hybridMultilevel"/>
    <w:tmpl w:val="497EE18C"/>
    <w:lvl w:ilvl="0" w:tplc="FFFFFFFF">
      <w:start w:val="1"/>
      <w:numFmt w:val="lowerLetter"/>
      <w:lvlText w:val="(%1)"/>
      <w:lvlJc w:val="left"/>
      <w:pPr>
        <w:ind w:left="12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1" w:hanging="360"/>
      </w:pPr>
    </w:lvl>
    <w:lvl w:ilvl="2" w:tplc="FFFFFFFF" w:tentative="1">
      <w:start w:val="1"/>
      <w:numFmt w:val="lowerRoman"/>
      <w:lvlText w:val="%3."/>
      <w:lvlJc w:val="right"/>
      <w:pPr>
        <w:ind w:left="2641" w:hanging="180"/>
      </w:pPr>
    </w:lvl>
    <w:lvl w:ilvl="3" w:tplc="FFFFFFFF" w:tentative="1">
      <w:start w:val="1"/>
      <w:numFmt w:val="decimal"/>
      <w:lvlText w:val="%4."/>
      <w:lvlJc w:val="left"/>
      <w:pPr>
        <w:ind w:left="3361" w:hanging="360"/>
      </w:pPr>
    </w:lvl>
    <w:lvl w:ilvl="4" w:tplc="FFFFFFFF" w:tentative="1">
      <w:start w:val="1"/>
      <w:numFmt w:val="lowerLetter"/>
      <w:lvlText w:val="%5."/>
      <w:lvlJc w:val="left"/>
      <w:pPr>
        <w:ind w:left="4081" w:hanging="360"/>
      </w:pPr>
    </w:lvl>
    <w:lvl w:ilvl="5" w:tplc="FFFFFFFF" w:tentative="1">
      <w:start w:val="1"/>
      <w:numFmt w:val="lowerRoman"/>
      <w:lvlText w:val="%6."/>
      <w:lvlJc w:val="right"/>
      <w:pPr>
        <w:ind w:left="4801" w:hanging="180"/>
      </w:pPr>
    </w:lvl>
    <w:lvl w:ilvl="6" w:tplc="FFFFFFFF" w:tentative="1">
      <w:start w:val="1"/>
      <w:numFmt w:val="decimal"/>
      <w:lvlText w:val="%7."/>
      <w:lvlJc w:val="left"/>
      <w:pPr>
        <w:ind w:left="5521" w:hanging="360"/>
      </w:pPr>
    </w:lvl>
    <w:lvl w:ilvl="7" w:tplc="FFFFFFFF" w:tentative="1">
      <w:start w:val="1"/>
      <w:numFmt w:val="lowerLetter"/>
      <w:lvlText w:val="%8."/>
      <w:lvlJc w:val="left"/>
      <w:pPr>
        <w:ind w:left="6241" w:hanging="360"/>
      </w:pPr>
    </w:lvl>
    <w:lvl w:ilvl="8" w:tplc="FFFFFFFF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22" w15:restartNumberingAfterBreak="0">
    <w:nsid w:val="36BE4418"/>
    <w:multiLevelType w:val="hybridMultilevel"/>
    <w:tmpl w:val="3FC4931E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1D542D"/>
    <w:multiLevelType w:val="multilevel"/>
    <w:tmpl w:val="CEA2CDB4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39604B2B"/>
    <w:multiLevelType w:val="hybridMultilevel"/>
    <w:tmpl w:val="7CB6BA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E7D39"/>
    <w:multiLevelType w:val="multilevel"/>
    <w:tmpl w:val="B03C890A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7" w15:restartNumberingAfterBreak="0">
    <w:nsid w:val="3EF03CBF"/>
    <w:multiLevelType w:val="hybridMultilevel"/>
    <w:tmpl w:val="97E0DE5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EB5D88"/>
    <w:multiLevelType w:val="hybridMultilevel"/>
    <w:tmpl w:val="74208394"/>
    <w:lvl w:ilvl="0" w:tplc="E2AC7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0" w15:restartNumberingAfterBreak="0">
    <w:nsid w:val="42B4446B"/>
    <w:multiLevelType w:val="hybridMultilevel"/>
    <w:tmpl w:val="C056257C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EF0158"/>
    <w:multiLevelType w:val="hybridMultilevel"/>
    <w:tmpl w:val="8DCEA6CC"/>
    <w:lvl w:ilvl="0" w:tplc="3158789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6597737"/>
    <w:multiLevelType w:val="hybridMultilevel"/>
    <w:tmpl w:val="A4248A3A"/>
    <w:lvl w:ilvl="0" w:tplc="778CA5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4" w15:restartNumberingAfterBreak="0">
    <w:nsid w:val="49C66851"/>
    <w:multiLevelType w:val="multilevel"/>
    <w:tmpl w:val="FE385F70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50EB7E43"/>
    <w:multiLevelType w:val="hybridMultilevel"/>
    <w:tmpl w:val="5450E448"/>
    <w:lvl w:ilvl="0" w:tplc="443286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11C70D7"/>
    <w:multiLevelType w:val="multilevel"/>
    <w:tmpl w:val="4E2EC262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53163DEF"/>
    <w:multiLevelType w:val="hybridMultilevel"/>
    <w:tmpl w:val="5A421E16"/>
    <w:lvl w:ilvl="0" w:tplc="4432865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E4027"/>
    <w:multiLevelType w:val="hybridMultilevel"/>
    <w:tmpl w:val="1038A856"/>
    <w:lvl w:ilvl="0" w:tplc="2AE4C24E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6553BAF"/>
    <w:multiLevelType w:val="hybridMultilevel"/>
    <w:tmpl w:val="29CE1378"/>
    <w:lvl w:ilvl="0" w:tplc="93F237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6DF6793"/>
    <w:multiLevelType w:val="hybridMultilevel"/>
    <w:tmpl w:val="1E6C5A30"/>
    <w:lvl w:ilvl="0" w:tplc="A94445E6">
      <w:start w:val="1"/>
      <w:numFmt w:val="lowerRoman"/>
      <w:lvlText w:val="(%1)"/>
      <w:lvlJc w:val="left"/>
      <w:pPr>
        <w:ind w:left="15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 w15:restartNumberingAfterBreak="0">
    <w:nsid w:val="58A614FA"/>
    <w:multiLevelType w:val="hybridMultilevel"/>
    <w:tmpl w:val="F9EC7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802B52"/>
    <w:multiLevelType w:val="hybridMultilevel"/>
    <w:tmpl w:val="65C4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9246AD"/>
    <w:multiLevelType w:val="hybridMultilevel"/>
    <w:tmpl w:val="311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E36F71"/>
    <w:multiLevelType w:val="hybridMultilevel"/>
    <w:tmpl w:val="8FEE15C0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FDE1F2A"/>
    <w:multiLevelType w:val="hybridMultilevel"/>
    <w:tmpl w:val="87AC5CF4"/>
    <w:lvl w:ilvl="0" w:tplc="443286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0D17EEE"/>
    <w:multiLevelType w:val="hybridMultilevel"/>
    <w:tmpl w:val="3FC4931E"/>
    <w:lvl w:ilvl="0" w:tplc="995CDE1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62AC1E7D"/>
    <w:multiLevelType w:val="hybridMultilevel"/>
    <w:tmpl w:val="497EE18C"/>
    <w:lvl w:ilvl="0" w:tplc="57F4AD6A">
      <w:start w:val="1"/>
      <w:numFmt w:val="lowerLetter"/>
      <w:lvlText w:val="(%1)"/>
      <w:lvlJc w:val="left"/>
      <w:pPr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51" w15:restartNumberingAfterBreak="0">
    <w:nsid w:val="68E4368B"/>
    <w:multiLevelType w:val="hybridMultilevel"/>
    <w:tmpl w:val="42342A56"/>
    <w:lvl w:ilvl="0" w:tplc="A3EC0A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570A11"/>
    <w:multiLevelType w:val="hybridMultilevel"/>
    <w:tmpl w:val="4426D2DA"/>
    <w:lvl w:ilvl="0" w:tplc="59D845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A227D0"/>
    <w:multiLevelType w:val="multilevel"/>
    <w:tmpl w:val="6172C5C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4" w15:restartNumberingAfterBreak="0">
    <w:nsid w:val="6BBD02F1"/>
    <w:multiLevelType w:val="hybridMultilevel"/>
    <w:tmpl w:val="25EAC578"/>
    <w:lvl w:ilvl="0" w:tplc="D6867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E2D70FC"/>
    <w:multiLevelType w:val="hybridMultilevel"/>
    <w:tmpl w:val="E8D4B0A6"/>
    <w:lvl w:ilvl="0" w:tplc="2AE4C24E">
      <w:start w:val="1"/>
      <w:numFmt w:val="lowerRoman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 w15:restartNumberingAfterBreak="0">
    <w:nsid w:val="6EFC1925"/>
    <w:multiLevelType w:val="multilevel"/>
    <w:tmpl w:val="83FCF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decimal"/>
      <w:pStyle w:val="rvps8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58" w15:restartNumberingAfterBreak="0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9" w15:restartNumberingAfterBreak="0">
    <w:nsid w:val="735601F1"/>
    <w:multiLevelType w:val="hybridMultilevel"/>
    <w:tmpl w:val="74208394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4703A24"/>
    <w:multiLevelType w:val="hybridMultilevel"/>
    <w:tmpl w:val="05D0493E"/>
    <w:lvl w:ilvl="0" w:tplc="9B0E1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5C31371"/>
    <w:multiLevelType w:val="hybridMultilevel"/>
    <w:tmpl w:val="7CB6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63" w15:restartNumberingAfterBreak="0">
    <w:nsid w:val="791871B3"/>
    <w:multiLevelType w:val="hybridMultilevel"/>
    <w:tmpl w:val="8FEE15C0"/>
    <w:lvl w:ilvl="0" w:tplc="63EE20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A9204A8"/>
    <w:multiLevelType w:val="multilevel"/>
    <w:tmpl w:val="AF3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D6142A2"/>
    <w:multiLevelType w:val="hybridMultilevel"/>
    <w:tmpl w:val="1038A856"/>
    <w:lvl w:ilvl="0" w:tplc="2AE4C24E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544172796">
    <w:abstractNumId w:val="3"/>
  </w:num>
  <w:num w:numId="2" w16cid:durableId="1596743178">
    <w:abstractNumId w:val="56"/>
  </w:num>
  <w:num w:numId="3" w16cid:durableId="1865098947">
    <w:abstractNumId w:val="65"/>
  </w:num>
  <w:num w:numId="4" w16cid:durableId="1176841023">
    <w:abstractNumId w:val="55"/>
  </w:num>
  <w:num w:numId="5" w16cid:durableId="1445342276">
    <w:abstractNumId w:val="13"/>
  </w:num>
  <w:num w:numId="6" w16cid:durableId="1460880164">
    <w:abstractNumId w:val="42"/>
  </w:num>
  <w:num w:numId="7" w16cid:durableId="2048139466">
    <w:abstractNumId w:val="52"/>
  </w:num>
  <w:num w:numId="8" w16cid:durableId="343170962">
    <w:abstractNumId w:val="40"/>
  </w:num>
  <w:num w:numId="9" w16cid:durableId="746001854">
    <w:abstractNumId w:val="32"/>
  </w:num>
  <w:num w:numId="10" w16cid:durableId="677660199">
    <w:abstractNumId w:val="7"/>
  </w:num>
  <w:num w:numId="11" w16cid:durableId="750782362">
    <w:abstractNumId w:val="37"/>
  </w:num>
  <w:num w:numId="12" w16cid:durableId="251937147">
    <w:abstractNumId w:val="39"/>
  </w:num>
  <w:num w:numId="13" w16cid:durableId="1189294085">
    <w:abstractNumId w:val="47"/>
  </w:num>
  <w:num w:numId="14" w16cid:durableId="78798968">
    <w:abstractNumId w:val="20"/>
  </w:num>
  <w:num w:numId="15" w16cid:durableId="1435512664">
    <w:abstractNumId w:val="36"/>
  </w:num>
  <w:num w:numId="16" w16cid:durableId="1954706208">
    <w:abstractNumId w:val="35"/>
  </w:num>
  <w:num w:numId="17" w16cid:durableId="1972978155">
    <w:abstractNumId w:val="49"/>
  </w:num>
  <w:num w:numId="18" w16cid:durableId="400830775">
    <w:abstractNumId w:val="62"/>
  </w:num>
  <w:num w:numId="19" w16cid:durableId="1002512947">
    <w:abstractNumId w:val="26"/>
  </w:num>
  <w:num w:numId="20" w16cid:durableId="1150944713">
    <w:abstractNumId w:val="33"/>
  </w:num>
  <w:num w:numId="21" w16cid:durableId="465851315">
    <w:abstractNumId w:val="57"/>
  </w:num>
  <w:num w:numId="22" w16cid:durableId="1311717829">
    <w:abstractNumId w:val="1"/>
  </w:num>
  <w:num w:numId="23" w16cid:durableId="1767073442">
    <w:abstractNumId w:val="34"/>
  </w:num>
  <w:num w:numId="24" w16cid:durableId="545680821">
    <w:abstractNumId w:val="25"/>
  </w:num>
  <w:num w:numId="25" w16cid:durableId="95441886">
    <w:abstractNumId w:val="19"/>
  </w:num>
  <w:num w:numId="26" w16cid:durableId="1108818817">
    <w:abstractNumId w:val="11"/>
  </w:num>
  <w:num w:numId="27" w16cid:durableId="1985621427">
    <w:abstractNumId w:val="58"/>
  </w:num>
  <w:num w:numId="28" w16cid:durableId="1995913293">
    <w:abstractNumId w:val="29"/>
  </w:num>
  <w:num w:numId="29" w16cid:durableId="405958381">
    <w:abstractNumId w:val="38"/>
  </w:num>
  <w:num w:numId="30" w16cid:durableId="1482691670">
    <w:abstractNumId w:val="23"/>
  </w:num>
  <w:num w:numId="31" w16cid:durableId="1830055761">
    <w:abstractNumId w:val="53"/>
  </w:num>
  <w:num w:numId="32" w16cid:durableId="1233780775">
    <w:abstractNumId w:val="6"/>
  </w:num>
  <w:num w:numId="33" w16cid:durableId="5993328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719108">
    <w:abstractNumId w:val="5"/>
  </w:num>
  <w:num w:numId="35" w16cid:durableId="1915312218">
    <w:abstractNumId w:val="9"/>
  </w:num>
  <w:num w:numId="36" w16cid:durableId="1990134755">
    <w:abstractNumId w:val="61"/>
  </w:num>
  <w:num w:numId="37" w16cid:durableId="1668903381">
    <w:abstractNumId w:val="48"/>
  </w:num>
  <w:num w:numId="38" w16cid:durableId="259872438">
    <w:abstractNumId w:val="60"/>
  </w:num>
  <w:num w:numId="39" w16cid:durableId="243730989">
    <w:abstractNumId w:val="31"/>
  </w:num>
  <w:num w:numId="40" w16cid:durableId="880215305">
    <w:abstractNumId w:val="41"/>
  </w:num>
  <w:num w:numId="41" w16cid:durableId="1638803729">
    <w:abstractNumId w:val="50"/>
  </w:num>
  <w:num w:numId="42" w16cid:durableId="479228090">
    <w:abstractNumId w:val="54"/>
  </w:num>
  <w:num w:numId="43" w16cid:durableId="1869560290">
    <w:abstractNumId w:val="51"/>
  </w:num>
  <w:num w:numId="44" w16cid:durableId="877472916">
    <w:abstractNumId w:val="28"/>
  </w:num>
  <w:num w:numId="45" w16cid:durableId="1788741366">
    <w:abstractNumId w:val="63"/>
  </w:num>
  <w:num w:numId="46" w16cid:durableId="220408632">
    <w:abstractNumId w:val="12"/>
  </w:num>
  <w:num w:numId="47" w16cid:durableId="890919589">
    <w:abstractNumId w:val="14"/>
  </w:num>
  <w:num w:numId="48" w16cid:durableId="2042588739">
    <w:abstractNumId w:val="24"/>
  </w:num>
  <w:num w:numId="49" w16cid:durableId="1317493062">
    <w:abstractNumId w:val="15"/>
  </w:num>
  <w:num w:numId="50" w16cid:durableId="942306165">
    <w:abstractNumId w:val="16"/>
  </w:num>
  <w:num w:numId="51" w16cid:durableId="286007906">
    <w:abstractNumId w:val="22"/>
  </w:num>
  <w:num w:numId="52" w16cid:durableId="613292830">
    <w:abstractNumId w:val="8"/>
  </w:num>
  <w:num w:numId="53" w16cid:durableId="1040858761">
    <w:abstractNumId w:val="2"/>
  </w:num>
  <w:num w:numId="54" w16cid:durableId="269897863">
    <w:abstractNumId w:val="21"/>
  </w:num>
  <w:num w:numId="55" w16cid:durableId="1527525934">
    <w:abstractNumId w:val="10"/>
  </w:num>
  <w:num w:numId="56" w16cid:durableId="120534651">
    <w:abstractNumId w:val="0"/>
  </w:num>
  <w:num w:numId="57" w16cid:durableId="962274813">
    <w:abstractNumId w:val="59"/>
  </w:num>
  <w:num w:numId="58" w16cid:durableId="398791483">
    <w:abstractNumId w:val="46"/>
  </w:num>
  <w:num w:numId="59" w16cid:durableId="849569262">
    <w:abstractNumId w:val="27"/>
  </w:num>
  <w:num w:numId="60" w16cid:durableId="2010403984">
    <w:abstractNumId w:val="30"/>
  </w:num>
  <w:num w:numId="61" w16cid:durableId="732659212">
    <w:abstractNumId w:val="43"/>
  </w:num>
  <w:num w:numId="62" w16cid:durableId="1344745143">
    <w:abstractNumId w:val="45"/>
  </w:num>
  <w:num w:numId="63" w16cid:durableId="26217841">
    <w:abstractNumId w:val="44"/>
  </w:num>
  <w:num w:numId="64" w16cid:durableId="889682082">
    <w:abstractNumId w:val="4"/>
  </w:num>
  <w:num w:numId="65" w16cid:durableId="441458756">
    <w:abstractNumId w:val="64"/>
  </w:num>
  <w:num w:numId="66" w16cid:durableId="228541365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9"/>
    <w:rsid w:val="0000530E"/>
    <w:rsid w:val="00013063"/>
    <w:rsid w:val="00021BF1"/>
    <w:rsid w:val="00030158"/>
    <w:rsid w:val="00040CD1"/>
    <w:rsid w:val="00044421"/>
    <w:rsid w:val="000513BA"/>
    <w:rsid w:val="00053375"/>
    <w:rsid w:val="00054153"/>
    <w:rsid w:val="00055AAC"/>
    <w:rsid w:val="0006397A"/>
    <w:rsid w:val="00070DE0"/>
    <w:rsid w:val="00073CC6"/>
    <w:rsid w:val="0007791C"/>
    <w:rsid w:val="00077F93"/>
    <w:rsid w:val="00080BB3"/>
    <w:rsid w:val="000821F0"/>
    <w:rsid w:val="00082575"/>
    <w:rsid w:val="000A0889"/>
    <w:rsid w:val="000B5CBC"/>
    <w:rsid w:val="000C17B5"/>
    <w:rsid w:val="000C43EF"/>
    <w:rsid w:val="000C50AF"/>
    <w:rsid w:val="000C5421"/>
    <w:rsid w:val="000D0AD0"/>
    <w:rsid w:val="000D1709"/>
    <w:rsid w:val="000D7013"/>
    <w:rsid w:val="000E3C38"/>
    <w:rsid w:val="000F0A10"/>
    <w:rsid w:val="001040AF"/>
    <w:rsid w:val="001104FA"/>
    <w:rsid w:val="00111701"/>
    <w:rsid w:val="00124357"/>
    <w:rsid w:val="001341B6"/>
    <w:rsid w:val="001342E2"/>
    <w:rsid w:val="00134744"/>
    <w:rsid w:val="00150FE6"/>
    <w:rsid w:val="0015631D"/>
    <w:rsid w:val="001708E5"/>
    <w:rsid w:val="00171062"/>
    <w:rsid w:val="00173419"/>
    <w:rsid w:val="001757B4"/>
    <w:rsid w:val="00181562"/>
    <w:rsid w:val="00181D0B"/>
    <w:rsid w:val="00181FBA"/>
    <w:rsid w:val="00182D69"/>
    <w:rsid w:val="001905CB"/>
    <w:rsid w:val="00190976"/>
    <w:rsid w:val="00194C1E"/>
    <w:rsid w:val="00195481"/>
    <w:rsid w:val="001B73FF"/>
    <w:rsid w:val="001B7B69"/>
    <w:rsid w:val="001B7EBF"/>
    <w:rsid w:val="001C1A63"/>
    <w:rsid w:val="001C3463"/>
    <w:rsid w:val="001C7296"/>
    <w:rsid w:val="001E1B9D"/>
    <w:rsid w:val="0020162B"/>
    <w:rsid w:val="002020BD"/>
    <w:rsid w:val="0020521D"/>
    <w:rsid w:val="00215636"/>
    <w:rsid w:val="00215D09"/>
    <w:rsid w:val="00221276"/>
    <w:rsid w:val="0022709A"/>
    <w:rsid w:val="002308BE"/>
    <w:rsid w:val="002328AA"/>
    <w:rsid w:val="00243A61"/>
    <w:rsid w:val="0024614A"/>
    <w:rsid w:val="00251F81"/>
    <w:rsid w:val="002525F4"/>
    <w:rsid w:val="00264432"/>
    <w:rsid w:val="00265B62"/>
    <w:rsid w:val="002719FC"/>
    <w:rsid w:val="00280D5C"/>
    <w:rsid w:val="00296BC8"/>
    <w:rsid w:val="002B108F"/>
    <w:rsid w:val="002B3CB7"/>
    <w:rsid w:val="002C1653"/>
    <w:rsid w:val="002D0AE2"/>
    <w:rsid w:val="002D2264"/>
    <w:rsid w:val="002D34FA"/>
    <w:rsid w:val="002D3B1A"/>
    <w:rsid w:val="002E1842"/>
    <w:rsid w:val="002E7DFF"/>
    <w:rsid w:val="002F1DF7"/>
    <w:rsid w:val="002F6CC9"/>
    <w:rsid w:val="00323356"/>
    <w:rsid w:val="00330001"/>
    <w:rsid w:val="0033443D"/>
    <w:rsid w:val="003362AF"/>
    <w:rsid w:val="003362C8"/>
    <w:rsid w:val="003417E3"/>
    <w:rsid w:val="00351886"/>
    <w:rsid w:val="00357624"/>
    <w:rsid w:val="0036460A"/>
    <w:rsid w:val="00364C75"/>
    <w:rsid w:val="0036684E"/>
    <w:rsid w:val="00374DAF"/>
    <w:rsid w:val="00376939"/>
    <w:rsid w:val="00377479"/>
    <w:rsid w:val="00380302"/>
    <w:rsid w:val="00381C08"/>
    <w:rsid w:val="00381CCF"/>
    <w:rsid w:val="0038328E"/>
    <w:rsid w:val="003A5EF5"/>
    <w:rsid w:val="003A7673"/>
    <w:rsid w:val="003B4F43"/>
    <w:rsid w:val="003B4F72"/>
    <w:rsid w:val="003C1AB1"/>
    <w:rsid w:val="003D52C9"/>
    <w:rsid w:val="003E29C1"/>
    <w:rsid w:val="003E6C31"/>
    <w:rsid w:val="003F4968"/>
    <w:rsid w:val="004000C9"/>
    <w:rsid w:val="00400C08"/>
    <w:rsid w:val="00405578"/>
    <w:rsid w:val="0040570F"/>
    <w:rsid w:val="004141A7"/>
    <w:rsid w:val="00421108"/>
    <w:rsid w:val="00424DA2"/>
    <w:rsid w:val="00425ED8"/>
    <w:rsid w:val="00426854"/>
    <w:rsid w:val="00426A02"/>
    <w:rsid w:val="004321EC"/>
    <w:rsid w:val="00433361"/>
    <w:rsid w:val="004340A4"/>
    <w:rsid w:val="00437E51"/>
    <w:rsid w:val="00443A93"/>
    <w:rsid w:val="00461F18"/>
    <w:rsid w:val="004622D9"/>
    <w:rsid w:val="00463863"/>
    <w:rsid w:val="004649F4"/>
    <w:rsid w:val="00465B29"/>
    <w:rsid w:val="00475952"/>
    <w:rsid w:val="00477C48"/>
    <w:rsid w:val="00482014"/>
    <w:rsid w:val="004878BC"/>
    <w:rsid w:val="00494F6D"/>
    <w:rsid w:val="004A41F8"/>
    <w:rsid w:val="004A7FB6"/>
    <w:rsid w:val="004B321C"/>
    <w:rsid w:val="004B65C3"/>
    <w:rsid w:val="004B697B"/>
    <w:rsid w:val="004C0CA3"/>
    <w:rsid w:val="004F1BD8"/>
    <w:rsid w:val="004F33D4"/>
    <w:rsid w:val="00505A0D"/>
    <w:rsid w:val="00511F50"/>
    <w:rsid w:val="00512281"/>
    <w:rsid w:val="00514BB1"/>
    <w:rsid w:val="00517476"/>
    <w:rsid w:val="00517DF5"/>
    <w:rsid w:val="00522980"/>
    <w:rsid w:val="005237A9"/>
    <w:rsid w:val="00524E9F"/>
    <w:rsid w:val="00544AD2"/>
    <w:rsid w:val="0055088F"/>
    <w:rsid w:val="005526E3"/>
    <w:rsid w:val="005640FA"/>
    <w:rsid w:val="00565B64"/>
    <w:rsid w:val="0057477D"/>
    <w:rsid w:val="00583D60"/>
    <w:rsid w:val="005856DB"/>
    <w:rsid w:val="00585C1E"/>
    <w:rsid w:val="0058628B"/>
    <w:rsid w:val="00590815"/>
    <w:rsid w:val="005923D4"/>
    <w:rsid w:val="005A0AD1"/>
    <w:rsid w:val="005A158A"/>
    <w:rsid w:val="005B5493"/>
    <w:rsid w:val="005B5C74"/>
    <w:rsid w:val="005B6E61"/>
    <w:rsid w:val="005C121F"/>
    <w:rsid w:val="005C1B59"/>
    <w:rsid w:val="005C28E1"/>
    <w:rsid w:val="005D40B6"/>
    <w:rsid w:val="005E124B"/>
    <w:rsid w:val="005E1458"/>
    <w:rsid w:val="005E777E"/>
    <w:rsid w:val="005F14D9"/>
    <w:rsid w:val="005F1D96"/>
    <w:rsid w:val="005F5B21"/>
    <w:rsid w:val="00605D09"/>
    <w:rsid w:val="00607344"/>
    <w:rsid w:val="00620C07"/>
    <w:rsid w:val="006239F8"/>
    <w:rsid w:val="00627E5E"/>
    <w:rsid w:val="0064324A"/>
    <w:rsid w:val="006453D4"/>
    <w:rsid w:val="0065518C"/>
    <w:rsid w:val="00681373"/>
    <w:rsid w:val="00683225"/>
    <w:rsid w:val="00686BC7"/>
    <w:rsid w:val="00687EF2"/>
    <w:rsid w:val="006963BF"/>
    <w:rsid w:val="006A1312"/>
    <w:rsid w:val="006B4E25"/>
    <w:rsid w:val="006B6CAB"/>
    <w:rsid w:val="006C6E8F"/>
    <w:rsid w:val="006C7277"/>
    <w:rsid w:val="006E7176"/>
    <w:rsid w:val="006F5035"/>
    <w:rsid w:val="007001B3"/>
    <w:rsid w:val="0070438A"/>
    <w:rsid w:val="00716B21"/>
    <w:rsid w:val="00725F31"/>
    <w:rsid w:val="00726955"/>
    <w:rsid w:val="00737557"/>
    <w:rsid w:val="007407D7"/>
    <w:rsid w:val="007411AA"/>
    <w:rsid w:val="007558D7"/>
    <w:rsid w:val="0075778E"/>
    <w:rsid w:val="00757AD6"/>
    <w:rsid w:val="00761263"/>
    <w:rsid w:val="00762687"/>
    <w:rsid w:val="00765022"/>
    <w:rsid w:val="00766184"/>
    <w:rsid w:val="00770E82"/>
    <w:rsid w:val="007719FE"/>
    <w:rsid w:val="00772AF3"/>
    <w:rsid w:val="007775DB"/>
    <w:rsid w:val="00793CBA"/>
    <w:rsid w:val="0079412C"/>
    <w:rsid w:val="007A29F7"/>
    <w:rsid w:val="007A35CB"/>
    <w:rsid w:val="007A4C72"/>
    <w:rsid w:val="007B0003"/>
    <w:rsid w:val="007B254D"/>
    <w:rsid w:val="007B5302"/>
    <w:rsid w:val="007D18B8"/>
    <w:rsid w:val="007E2EF8"/>
    <w:rsid w:val="007E6270"/>
    <w:rsid w:val="007E68F0"/>
    <w:rsid w:val="007F2650"/>
    <w:rsid w:val="008000E2"/>
    <w:rsid w:val="0080314A"/>
    <w:rsid w:val="0080363B"/>
    <w:rsid w:val="008039AC"/>
    <w:rsid w:val="008107C6"/>
    <w:rsid w:val="00812EFE"/>
    <w:rsid w:val="0082479E"/>
    <w:rsid w:val="00837B32"/>
    <w:rsid w:val="00855708"/>
    <w:rsid w:val="00856EE9"/>
    <w:rsid w:val="00877ADC"/>
    <w:rsid w:val="00884968"/>
    <w:rsid w:val="00893849"/>
    <w:rsid w:val="00896717"/>
    <w:rsid w:val="008C32E5"/>
    <w:rsid w:val="008C481A"/>
    <w:rsid w:val="008D17F6"/>
    <w:rsid w:val="008D5D86"/>
    <w:rsid w:val="008D65B0"/>
    <w:rsid w:val="008E1E26"/>
    <w:rsid w:val="008F66CF"/>
    <w:rsid w:val="00900CC7"/>
    <w:rsid w:val="00904FA9"/>
    <w:rsid w:val="00911DCE"/>
    <w:rsid w:val="009163A4"/>
    <w:rsid w:val="00920348"/>
    <w:rsid w:val="0092126F"/>
    <w:rsid w:val="009229E5"/>
    <w:rsid w:val="00923204"/>
    <w:rsid w:val="009262DC"/>
    <w:rsid w:val="00933B30"/>
    <w:rsid w:val="00943605"/>
    <w:rsid w:val="00943BB3"/>
    <w:rsid w:val="00955FA7"/>
    <w:rsid w:val="00992B04"/>
    <w:rsid w:val="0099311E"/>
    <w:rsid w:val="00995FAC"/>
    <w:rsid w:val="009A0128"/>
    <w:rsid w:val="009A3434"/>
    <w:rsid w:val="009A4BA7"/>
    <w:rsid w:val="009A62FC"/>
    <w:rsid w:val="009B1A3E"/>
    <w:rsid w:val="009B2835"/>
    <w:rsid w:val="009B59EC"/>
    <w:rsid w:val="009D0C27"/>
    <w:rsid w:val="009D15E7"/>
    <w:rsid w:val="009D7676"/>
    <w:rsid w:val="009D79E0"/>
    <w:rsid w:val="009E7681"/>
    <w:rsid w:val="009E7D39"/>
    <w:rsid w:val="009F7FF4"/>
    <w:rsid w:val="00A15565"/>
    <w:rsid w:val="00A1616F"/>
    <w:rsid w:val="00A24466"/>
    <w:rsid w:val="00A27070"/>
    <w:rsid w:val="00A43063"/>
    <w:rsid w:val="00A56773"/>
    <w:rsid w:val="00A579FC"/>
    <w:rsid w:val="00A705B9"/>
    <w:rsid w:val="00A714AE"/>
    <w:rsid w:val="00A75EAA"/>
    <w:rsid w:val="00A843F3"/>
    <w:rsid w:val="00A95B58"/>
    <w:rsid w:val="00A96D31"/>
    <w:rsid w:val="00AB1DBF"/>
    <w:rsid w:val="00AB4D05"/>
    <w:rsid w:val="00AB554D"/>
    <w:rsid w:val="00AC4709"/>
    <w:rsid w:val="00AE2EF6"/>
    <w:rsid w:val="00AF3525"/>
    <w:rsid w:val="00B0307F"/>
    <w:rsid w:val="00B10C3F"/>
    <w:rsid w:val="00B13E00"/>
    <w:rsid w:val="00B200D7"/>
    <w:rsid w:val="00B35396"/>
    <w:rsid w:val="00B37B42"/>
    <w:rsid w:val="00B435A3"/>
    <w:rsid w:val="00B45248"/>
    <w:rsid w:val="00B5171B"/>
    <w:rsid w:val="00B53846"/>
    <w:rsid w:val="00B63E9B"/>
    <w:rsid w:val="00B750F1"/>
    <w:rsid w:val="00B758D3"/>
    <w:rsid w:val="00B76A30"/>
    <w:rsid w:val="00B77E39"/>
    <w:rsid w:val="00B82E58"/>
    <w:rsid w:val="00B874D1"/>
    <w:rsid w:val="00BC43C7"/>
    <w:rsid w:val="00BC69CB"/>
    <w:rsid w:val="00BD55C4"/>
    <w:rsid w:val="00BD78D2"/>
    <w:rsid w:val="00BD7C6F"/>
    <w:rsid w:val="00BE59AA"/>
    <w:rsid w:val="00C01347"/>
    <w:rsid w:val="00C10251"/>
    <w:rsid w:val="00C1263A"/>
    <w:rsid w:val="00C1485A"/>
    <w:rsid w:val="00C179D5"/>
    <w:rsid w:val="00C2039B"/>
    <w:rsid w:val="00C2234F"/>
    <w:rsid w:val="00C2379C"/>
    <w:rsid w:val="00C2480F"/>
    <w:rsid w:val="00C340FC"/>
    <w:rsid w:val="00C3604C"/>
    <w:rsid w:val="00C37164"/>
    <w:rsid w:val="00C37FA6"/>
    <w:rsid w:val="00C50A36"/>
    <w:rsid w:val="00C52980"/>
    <w:rsid w:val="00C57B8D"/>
    <w:rsid w:val="00C6008D"/>
    <w:rsid w:val="00C60D44"/>
    <w:rsid w:val="00C72869"/>
    <w:rsid w:val="00C76DC4"/>
    <w:rsid w:val="00C8127F"/>
    <w:rsid w:val="00C81E51"/>
    <w:rsid w:val="00C936DF"/>
    <w:rsid w:val="00CA1AC3"/>
    <w:rsid w:val="00CB7F2C"/>
    <w:rsid w:val="00CC5C3B"/>
    <w:rsid w:val="00CC758A"/>
    <w:rsid w:val="00CD0261"/>
    <w:rsid w:val="00CD05D1"/>
    <w:rsid w:val="00CE28F9"/>
    <w:rsid w:val="00CE3B1D"/>
    <w:rsid w:val="00CF6261"/>
    <w:rsid w:val="00D038D3"/>
    <w:rsid w:val="00D11818"/>
    <w:rsid w:val="00D251E4"/>
    <w:rsid w:val="00D4020A"/>
    <w:rsid w:val="00D4215F"/>
    <w:rsid w:val="00D46B3A"/>
    <w:rsid w:val="00D47548"/>
    <w:rsid w:val="00D51EEA"/>
    <w:rsid w:val="00D5471E"/>
    <w:rsid w:val="00D5501C"/>
    <w:rsid w:val="00D574F1"/>
    <w:rsid w:val="00D75BC7"/>
    <w:rsid w:val="00D77345"/>
    <w:rsid w:val="00D809DA"/>
    <w:rsid w:val="00D90F1E"/>
    <w:rsid w:val="00D9242A"/>
    <w:rsid w:val="00DB44E7"/>
    <w:rsid w:val="00DB6976"/>
    <w:rsid w:val="00DB6EEA"/>
    <w:rsid w:val="00DC19AA"/>
    <w:rsid w:val="00DD026E"/>
    <w:rsid w:val="00DD1204"/>
    <w:rsid w:val="00DD1A2E"/>
    <w:rsid w:val="00DE5F81"/>
    <w:rsid w:val="00E020B3"/>
    <w:rsid w:val="00E042D7"/>
    <w:rsid w:val="00E05792"/>
    <w:rsid w:val="00E05968"/>
    <w:rsid w:val="00E07957"/>
    <w:rsid w:val="00E11466"/>
    <w:rsid w:val="00E12B3E"/>
    <w:rsid w:val="00E14EB5"/>
    <w:rsid w:val="00E15F4F"/>
    <w:rsid w:val="00E20801"/>
    <w:rsid w:val="00E27A20"/>
    <w:rsid w:val="00E36049"/>
    <w:rsid w:val="00E406D3"/>
    <w:rsid w:val="00E42C7E"/>
    <w:rsid w:val="00E612E5"/>
    <w:rsid w:val="00E63259"/>
    <w:rsid w:val="00E721F0"/>
    <w:rsid w:val="00E72A56"/>
    <w:rsid w:val="00E74346"/>
    <w:rsid w:val="00E82243"/>
    <w:rsid w:val="00E95969"/>
    <w:rsid w:val="00E97D20"/>
    <w:rsid w:val="00EC117F"/>
    <w:rsid w:val="00EC5B9F"/>
    <w:rsid w:val="00EC63AB"/>
    <w:rsid w:val="00ED36C1"/>
    <w:rsid w:val="00ED3B0A"/>
    <w:rsid w:val="00ED46BB"/>
    <w:rsid w:val="00ED5630"/>
    <w:rsid w:val="00EE5A5D"/>
    <w:rsid w:val="00EF1FB0"/>
    <w:rsid w:val="00EF3A64"/>
    <w:rsid w:val="00EF52B2"/>
    <w:rsid w:val="00F029B1"/>
    <w:rsid w:val="00F129AA"/>
    <w:rsid w:val="00F14BD7"/>
    <w:rsid w:val="00F214FA"/>
    <w:rsid w:val="00F32E3B"/>
    <w:rsid w:val="00F430F6"/>
    <w:rsid w:val="00F437C7"/>
    <w:rsid w:val="00F44EAA"/>
    <w:rsid w:val="00F660C8"/>
    <w:rsid w:val="00F670B7"/>
    <w:rsid w:val="00F67353"/>
    <w:rsid w:val="00F702E4"/>
    <w:rsid w:val="00F75E0F"/>
    <w:rsid w:val="00F84669"/>
    <w:rsid w:val="00F86354"/>
    <w:rsid w:val="00F90429"/>
    <w:rsid w:val="00F925C9"/>
    <w:rsid w:val="00FB0DAE"/>
    <w:rsid w:val="00FB5AB0"/>
    <w:rsid w:val="00FC2BF8"/>
    <w:rsid w:val="00FC588C"/>
    <w:rsid w:val="00FF0915"/>
    <w:rsid w:val="00FF24C0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D7E3"/>
  <w15:chartTrackingRefBased/>
  <w15:docId w15:val="{787DF562-CEEC-494B-B9AC-4EFDFD85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6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81562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0CD1"/>
    <w:pPr>
      <w:tabs>
        <w:tab w:val="num" w:pos="3600"/>
      </w:tabs>
      <w:spacing w:after="240" w:line="240" w:lineRule="auto"/>
      <w:ind w:left="3600" w:hanging="720"/>
      <w:outlineLvl w:val="4"/>
    </w:pPr>
    <w:rPr>
      <w:rFonts w:ascii="Times New Roman" w:eastAsia="Times New Roman" w:hAnsi="Times New Roman" w:cs="Times New Roman"/>
      <w:color w:val="000000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040CD1"/>
    <w:pPr>
      <w:tabs>
        <w:tab w:val="num" w:pos="4320"/>
      </w:tabs>
      <w:spacing w:after="240" w:line="240" w:lineRule="auto"/>
      <w:ind w:left="4320" w:hanging="720"/>
      <w:outlineLvl w:val="5"/>
    </w:pPr>
    <w:rPr>
      <w:rFonts w:ascii="Times New Roman" w:eastAsia="Times New Roman" w:hAnsi="Times New Roman" w:cs="Times New Roman"/>
      <w:iCs/>
      <w:color w:val="000000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40CD1"/>
    <w:pPr>
      <w:tabs>
        <w:tab w:val="num" w:pos="5040"/>
      </w:tabs>
      <w:spacing w:after="240" w:line="240" w:lineRule="auto"/>
      <w:ind w:left="5040" w:hanging="720"/>
      <w:outlineLvl w:val="6"/>
    </w:pPr>
    <w:rPr>
      <w:rFonts w:ascii="Times New Roman" w:eastAsia="Times New Roman" w:hAnsi="Times New Roman" w:cs="Times New Roman"/>
      <w:iCs/>
      <w:color w:val="000000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040CD1"/>
    <w:pPr>
      <w:tabs>
        <w:tab w:val="num" w:pos="5760"/>
      </w:tabs>
      <w:spacing w:after="240" w:line="240" w:lineRule="auto"/>
      <w:ind w:left="5760" w:hanging="720"/>
      <w:outlineLvl w:val="7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040CD1"/>
    <w:pPr>
      <w:tabs>
        <w:tab w:val="num" w:pos="6480"/>
      </w:tabs>
      <w:spacing w:after="240" w:line="240" w:lineRule="auto"/>
      <w:ind w:left="6480" w:hanging="720"/>
      <w:outlineLvl w:val="8"/>
    </w:pPr>
    <w:rPr>
      <w:rFonts w:ascii="Times New Roman" w:eastAsia="Times New Roman" w:hAnsi="Times New Roman" w:cs="Times New Roman"/>
      <w:iCs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1562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976"/>
    <w:rPr>
      <w:color w:val="0000FF"/>
      <w:u w:val="single"/>
    </w:rPr>
  </w:style>
  <w:style w:type="paragraph" w:customStyle="1" w:styleId="al">
    <w:name w:val="a_l"/>
    <w:basedOn w:val="Normal"/>
    <w:rsid w:val="001815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63B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qFormat/>
    <w:rsid w:val="00021BF1"/>
    <w:pPr>
      <w:ind w:left="720"/>
      <w:contextualSpacing/>
    </w:pPr>
  </w:style>
  <w:style w:type="table" w:styleId="TableGrid">
    <w:name w:val="Table Grid"/>
    <w:basedOn w:val="TableNormal"/>
    <w:uiPriority w:val="39"/>
    <w:rsid w:val="0019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0DA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8">
    <w:name w:val="rvps8"/>
    <w:basedOn w:val="Normal"/>
    <w:rsid w:val="00FB0DAE"/>
    <w:pPr>
      <w:numPr>
        <w:ilvl w:val="1"/>
        <w:numId w:val="2"/>
      </w:numPr>
      <w:tabs>
        <w:tab w:val="num" w:pos="972"/>
      </w:tabs>
      <w:autoSpaceDE w:val="0"/>
      <w:autoSpaceDN w:val="0"/>
      <w:adjustRightInd w:val="0"/>
      <w:spacing w:after="200" w:line="280" w:lineRule="exact"/>
      <w:jc w:val="both"/>
    </w:pPr>
    <w:rPr>
      <w:rFonts w:ascii="Arial" w:eastAsia="Times New Roman" w:hAnsi="Arial" w:cs="Arial"/>
      <w:bCs/>
      <w:noProof/>
      <w:sz w:val="20"/>
      <w:szCs w:val="20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2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254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B254D"/>
  </w:style>
  <w:style w:type="paragraph" w:styleId="Header">
    <w:name w:val="header"/>
    <w:basedOn w:val="Normal"/>
    <w:link w:val="HeaderChar"/>
    <w:uiPriority w:val="99"/>
    <w:unhideWhenUsed/>
    <w:rsid w:val="00FB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B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40C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C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0C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0CD1"/>
    <w:rPr>
      <w:rFonts w:ascii="Times New Roman" w:eastAsia="Times New Roman" w:hAnsi="Times New Roman" w:cs="Times New Roman"/>
      <w:color w:val="00000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0CD1"/>
    <w:rPr>
      <w:rFonts w:ascii="Times New Roman" w:eastAsia="Times New Roman" w:hAnsi="Times New Roman" w:cs="Times New Roman"/>
      <w:iCs/>
      <w:color w:val="00000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040CD1"/>
    <w:rPr>
      <w:rFonts w:ascii="Times New Roman" w:eastAsia="Times New Roman" w:hAnsi="Times New Roman" w:cs="Times New Roman"/>
      <w:iCs/>
      <w:color w:val="00000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040CD1"/>
    <w:rPr>
      <w:rFonts w:ascii="Times New Roman" w:eastAsia="Times New Roman" w:hAnsi="Times New Roman" w:cs="Times New Roman"/>
      <w:color w:val="00000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040CD1"/>
    <w:rPr>
      <w:rFonts w:ascii="Times New Roman" w:eastAsia="Times New Roman" w:hAnsi="Times New Roman" w:cs="Times New Roman"/>
      <w:iCs/>
      <w:color w:val="000000"/>
      <w:szCs w:val="20"/>
      <w:lang w:val="en-GB"/>
    </w:rPr>
  </w:style>
  <w:style w:type="paragraph" w:customStyle="1" w:styleId="AONormal">
    <w:name w:val="AONormal"/>
    <w:rsid w:val="00040CD1"/>
    <w:pPr>
      <w:spacing w:after="0" w:line="260" w:lineRule="atLeast"/>
    </w:pPr>
    <w:rPr>
      <w:rFonts w:ascii="Times New Roman" w:eastAsia="Calibri" w:hAnsi="Times New Roman" w:cs="Times New Roman"/>
      <w:lang w:val="en-GB"/>
    </w:rPr>
  </w:style>
  <w:style w:type="paragraph" w:customStyle="1" w:styleId="AOBodyTxt">
    <w:name w:val="AOBodyTxt"/>
    <w:basedOn w:val="AONormal"/>
    <w:next w:val="AODocTxt"/>
    <w:rsid w:val="00040CD1"/>
    <w:pPr>
      <w:spacing w:before="240"/>
      <w:jc w:val="both"/>
    </w:pPr>
  </w:style>
  <w:style w:type="paragraph" w:customStyle="1" w:styleId="AODocTxt">
    <w:name w:val="AODocTxt"/>
    <w:basedOn w:val="AOBodyTxt"/>
    <w:rsid w:val="00040CD1"/>
  </w:style>
  <w:style w:type="paragraph" w:customStyle="1" w:styleId="AODocTxtL1">
    <w:name w:val="AODocTxtL1"/>
    <w:basedOn w:val="AODocTxt"/>
    <w:rsid w:val="00040CD1"/>
    <w:pPr>
      <w:ind w:left="720"/>
    </w:pPr>
  </w:style>
  <w:style w:type="paragraph" w:customStyle="1" w:styleId="AODocTxtL2">
    <w:name w:val="AODocTxtL2"/>
    <w:basedOn w:val="AODocTxt"/>
    <w:rsid w:val="00040CD1"/>
    <w:pPr>
      <w:ind w:left="1440"/>
    </w:pPr>
  </w:style>
  <w:style w:type="paragraph" w:customStyle="1" w:styleId="AODocTxtL3">
    <w:name w:val="AODocTxtL3"/>
    <w:basedOn w:val="AODocTxt"/>
    <w:rsid w:val="00040CD1"/>
    <w:pPr>
      <w:ind w:left="2160"/>
    </w:pPr>
  </w:style>
  <w:style w:type="paragraph" w:customStyle="1" w:styleId="AODocTxtL4">
    <w:name w:val="AODocTxtL4"/>
    <w:basedOn w:val="AODocTxt"/>
    <w:rsid w:val="00040CD1"/>
    <w:pPr>
      <w:ind w:left="2880"/>
    </w:pPr>
  </w:style>
  <w:style w:type="paragraph" w:customStyle="1" w:styleId="AODocTxtL5">
    <w:name w:val="AODocTxtL5"/>
    <w:basedOn w:val="AODocTxt"/>
    <w:rsid w:val="00040CD1"/>
    <w:pPr>
      <w:ind w:left="3600"/>
    </w:pPr>
  </w:style>
  <w:style w:type="paragraph" w:customStyle="1" w:styleId="AODocTxtL6">
    <w:name w:val="AODocTxtL6"/>
    <w:basedOn w:val="AODocTxt"/>
    <w:rsid w:val="00040CD1"/>
    <w:pPr>
      <w:ind w:left="4320"/>
    </w:pPr>
  </w:style>
  <w:style w:type="paragraph" w:customStyle="1" w:styleId="AODocTxtL7">
    <w:name w:val="AODocTxtL7"/>
    <w:basedOn w:val="AODocTxt"/>
    <w:rsid w:val="00040CD1"/>
    <w:pPr>
      <w:ind w:left="5040"/>
    </w:pPr>
  </w:style>
  <w:style w:type="paragraph" w:customStyle="1" w:styleId="AODocTxtL8">
    <w:name w:val="AODocTxtL8"/>
    <w:basedOn w:val="AODocTxt"/>
    <w:rsid w:val="00040CD1"/>
    <w:pPr>
      <w:ind w:left="5760"/>
    </w:pPr>
  </w:style>
  <w:style w:type="paragraph" w:customStyle="1" w:styleId="AO1">
    <w:name w:val="AO(1)"/>
    <w:basedOn w:val="AOBodyTxt"/>
    <w:next w:val="AODocTxt"/>
    <w:rsid w:val="00040CD1"/>
    <w:pPr>
      <w:numPr>
        <w:numId w:val="16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040CD1"/>
    <w:pPr>
      <w:numPr>
        <w:numId w:val="17"/>
      </w:numPr>
    </w:pPr>
  </w:style>
  <w:style w:type="paragraph" w:customStyle="1" w:styleId="AOHeadings">
    <w:name w:val="AOHeadings"/>
    <w:basedOn w:val="AOBodyTxt"/>
    <w:next w:val="AODocTxt"/>
    <w:rsid w:val="00040CD1"/>
  </w:style>
  <w:style w:type="paragraph" w:customStyle="1" w:styleId="AOHead1">
    <w:name w:val="AOHead1"/>
    <w:basedOn w:val="AOHeadings"/>
    <w:next w:val="AODocTxtL1"/>
    <w:rsid w:val="00040CD1"/>
    <w:pPr>
      <w:keepNext/>
      <w:numPr>
        <w:numId w:val="15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040CD1"/>
    <w:pPr>
      <w:keepNext/>
      <w:numPr>
        <w:ilvl w:val="1"/>
        <w:numId w:val="15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040CD1"/>
    <w:pPr>
      <w:numPr>
        <w:ilvl w:val="2"/>
        <w:numId w:val="15"/>
      </w:numPr>
      <w:outlineLvl w:val="2"/>
    </w:pPr>
  </w:style>
  <w:style w:type="paragraph" w:customStyle="1" w:styleId="AOHead4">
    <w:name w:val="AOHead4"/>
    <w:basedOn w:val="AOHeadings"/>
    <w:next w:val="AODocTxtL3"/>
    <w:rsid w:val="00040CD1"/>
    <w:pPr>
      <w:numPr>
        <w:ilvl w:val="3"/>
        <w:numId w:val="15"/>
      </w:numPr>
      <w:outlineLvl w:val="3"/>
    </w:pPr>
  </w:style>
  <w:style w:type="paragraph" w:customStyle="1" w:styleId="AOHead5">
    <w:name w:val="AOHead5"/>
    <w:basedOn w:val="AOHeadings"/>
    <w:next w:val="AODocTxtL4"/>
    <w:rsid w:val="00040CD1"/>
    <w:pPr>
      <w:numPr>
        <w:ilvl w:val="4"/>
        <w:numId w:val="15"/>
      </w:numPr>
      <w:outlineLvl w:val="4"/>
    </w:pPr>
  </w:style>
  <w:style w:type="paragraph" w:customStyle="1" w:styleId="AOHead6">
    <w:name w:val="AOHead6"/>
    <w:basedOn w:val="AOHeadings"/>
    <w:next w:val="AODocTxtL5"/>
    <w:rsid w:val="00040CD1"/>
    <w:pPr>
      <w:numPr>
        <w:ilvl w:val="5"/>
        <w:numId w:val="15"/>
      </w:numPr>
      <w:outlineLvl w:val="5"/>
    </w:pPr>
  </w:style>
  <w:style w:type="paragraph" w:customStyle="1" w:styleId="AOAltHead1">
    <w:name w:val="AOAltHead1"/>
    <w:basedOn w:val="AOHead1"/>
    <w:next w:val="AODocTxtL1"/>
    <w:rsid w:val="00040CD1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040CD1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040CD1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040CD1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040CD1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040CD1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040CD1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040CD1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040CD1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040CD1"/>
    <w:pPr>
      <w:keepNext/>
      <w:outlineLvl w:val="3"/>
    </w:pPr>
    <w:rPr>
      <w:i/>
    </w:rPr>
  </w:style>
  <w:style w:type="paragraph" w:customStyle="1" w:styleId="AOAttachments">
    <w:name w:val="AOAttachments"/>
    <w:basedOn w:val="AOBodyTxt"/>
    <w:next w:val="AODocTxt"/>
    <w:rsid w:val="00040CD1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040CD1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040CD1"/>
  </w:style>
  <w:style w:type="paragraph" w:customStyle="1" w:styleId="AOAppHead">
    <w:name w:val="AOAppHead"/>
    <w:basedOn w:val="AOAttachments"/>
    <w:next w:val="AOAppTitle"/>
    <w:rsid w:val="00040CD1"/>
    <w:pPr>
      <w:pageBreakBefore/>
      <w:numPr>
        <w:numId w:val="22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040CD1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040CD1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040CD1"/>
  </w:style>
  <w:style w:type="paragraph" w:customStyle="1" w:styleId="AOAnxHead">
    <w:name w:val="AOAnxHead"/>
    <w:basedOn w:val="AOAttachments"/>
    <w:next w:val="AOAnxTitle"/>
    <w:rsid w:val="00040CD1"/>
    <w:pPr>
      <w:pageBreakBefore/>
      <w:numPr>
        <w:numId w:val="23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040CD1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040CD1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040CD1"/>
  </w:style>
  <w:style w:type="paragraph" w:customStyle="1" w:styleId="AOSchHead">
    <w:name w:val="AOSchHead"/>
    <w:basedOn w:val="AOAttachments"/>
    <w:next w:val="AOSchTitle"/>
    <w:rsid w:val="00040CD1"/>
    <w:pPr>
      <w:pageBreakBefore/>
      <w:numPr>
        <w:numId w:val="24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040CD1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040CD1"/>
    <w:pPr>
      <w:numPr>
        <w:numId w:val="21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040CD1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040CD1"/>
    <w:pPr>
      <w:numPr>
        <w:numId w:val="25"/>
      </w:numPr>
      <w:tabs>
        <w:tab w:val="clear" w:pos="720"/>
      </w:tabs>
    </w:pPr>
  </w:style>
  <w:style w:type="paragraph" w:customStyle="1" w:styleId="AOBullet2">
    <w:name w:val="AOBullet2"/>
    <w:basedOn w:val="AOBullet"/>
    <w:rsid w:val="00040CD1"/>
    <w:pPr>
      <w:numPr>
        <w:numId w:val="26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040CD1"/>
    <w:pPr>
      <w:numPr>
        <w:numId w:val="27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040CD1"/>
    <w:pPr>
      <w:numPr>
        <w:numId w:val="28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040CD1"/>
    <w:pPr>
      <w:keepNext/>
      <w:numPr>
        <w:numId w:val="18"/>
      </w:numPr>
    </w:pPr>
    <w:rPr>
      <w:b/>
      <w:caps/>
    </w:rPr>
  </w:style>
  <w:style w:type="paragraph" w:customStyle="1" w:styleId="AOGenNum1List">
    <w:name w:val="AOGenNum1List"/>
    <w:basedOn w:val="AOGenNum1"/>
    <w:rsid w:val="00040CD1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040CD1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040CD1"/>
    <w:pPr>
      <w:keepNext/>
      <w:numPr>
        <w:numId w:val="19"/>
      </w:numPr>
    </w:pPr>
    <w:rPr>
      <w:b/>
    </w:rPr>
  </w:style>
  <w:style w:type="paragraph" w:customStyle="1" w:styleId="AOGenNum2List">
    <w:name w:val="AOGenNum2List"/>
    <w:basedOn w:val="AOGenNum2"/>
    <w:rsid w:val="00040CD1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040CD1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040CD1"/>
    <w:pPr>
      <w:numPr>
        <w:numId w:val="20"/>
      </w:numPr>
    </w:pPr>
  </w:style>
  <w:style w:type="paragraph" w:customStyle="1" w:styleId="AOGenNum3List">
    <w:name w:val="AOGenNum3List"/>
    <w:basedOn w:val="AOGenNum3"/>
    <w:rsid w:val="00040CD1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040CD1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040CD1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040CD1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040CD1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040CD1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040CD1"/>
    <w:pPr>
      <w:tabs>
        <w:tab w:val="left" w:pos="720"/>
      </w:tabs>
    </w:pPr>
  </w:style>
  <w:style w:type="paragraph" w:customStyle="1" w:styleId="AOTOC3">
    <w:name w:val="AOTOC3"/>
    <w:basedOn w:val="AOTOCs"/>
    <w:rsid w:val="00040CD1"/>
    <w:pPr>
      <w:ind w:left="720"/>
    </w:pPr>
    <w:rPr>
      <w:b/>
    </w:rPr>
  </w:style>
  <w:style w:type="paragraph" w:customStyle="1" w:styleId="AOTOC4">
    <w:name w:val="AOTOC4"/>
    <w:basedOn w:val="AOTOCs"/>
    <w:rsid w:val="00040CD1"/>
    <w:pPr>
      <w:ind w:left="720"/>
    </w:pPr>
  </w:style>
  <w:style w:type="paragraph" w:customStyle="1" w:styleId="AOTOC5">
    <w:name w:val="AOTOC5"/>
    <w:basedOn w:val="AOTOCs"/>
    <w:rsid w:val="00040CD1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040CD1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040CD1"/>
    <w:pPr>
      <w:numPr>
        <w:numId w:val="29"/>
      </w:numPr>
      <w:tabs>
        <w:tab w:val="clear" w:pos="720"/>
      </w:tabs>
      <w:ind w:right="720" w:hanging="36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040CD1"/>
    <w:pPr>
      <w:numPr>
        <w:ilvl w:val="1"/>
        <w:numId w:val="29"/>
      </w:numPr>
      <w:tabs>
        <w:tab w:val="left" w:pos="1797"/>
      </w:tabs>
      <w:ind w:left="1440" w:right="720" w:hanging="36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040CD1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040CD1"/>
    <w:pPr>
      <w:numPr>
        <w:numId w:val="30"/>
      </w:numPr>
      <w:tabs>
        <w:tab w:val="clear" w:pos="720"/>
      </w:tabs>
      <w:ind w:left="360" w:right="720" w:hanging="36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040CD1"/>
    <w:pPr>
      <w:numPr>
        <w:ilvl w:val="1"/>
        <w:numId w:val="30"/>
      </w:numPr>
      <w:tabs>
        <w:tab w:val="left" w:pos="1797"/>
      </w:tabs>
      <w:ind w:left="1440" w:right="720" w:hanging="36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040CD1"/>
    <w:pPr>
      <w:numPr>
        <w:numId w:val="31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040CD1"/>
    <w:pPr>
      <w:numPr>
        <w:ilvl w:val="1"/>
        <w:numId w:val="31"/>
      </w:numPr>
      <w:tabs>
        <w:tab w:val="num" w:pos="1440"/>
        <w:tab w:val="left" w:pos="1797"/>
      </w:tabs>
      <w:ind w:left="1440" w:right="720" w:hanging="720"/>
    </w:pPr>
  </w:style>
  <w:style w:type="paragraph" w:styleId="FootnoteText">
    <w:name w:val="footnote text"/>
    <w:basedOn w:val="AONormal"/>
    <w:link w:val="FootnoteTextChar"/>
    <w:uiPriority w:val="99"/>
    <w:unhideWhenUsed/>
    <w:rsid w:val="00040CD1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0CD1"/>
    <w:rPr>
      <w:rFonts w:ascii="Times New Roman" w:eastAsia="Calibri" w:hAnsi="Times New Roman" w:cs="Times New Roman"/>
      <w:sz w:val="16"/>
      <w:szCs w:val="20"/>
      <w:lang w:val="en-GB"/>
    </w:rPr>
  </w:style>
  <w:style w:type="paragraph" w:customStyle="1" w:styleId="AOFPBP">
    <w:name w:val="AOFPBP"/>
    <w:basedOn w:val="AONormal"/>
    <w:next w:val="AOFPTxt"/>
    <w:rsid w:val="00040CD1"/>
    <w:pPr>
      <w:jc w:val="center"/>
    </w:pPr>
  </w:style>
  <w:style w:type="paragraph" w:customStyle="1" w:styleId="AOFPTxt">
    <w:name w:val="AOFPTxt"/>
    <w:basedOn w:val="AOFPBP"/>
    <w:rsid w:val="00040CD1"/>
    <w:rPr>
      <w:b/>
    </w:rPr>
  </w:style>
  <w:style w:type="paragraph" w:customStyle="1" w:styleId="AOBPTitle">
    <w:name w:val="AOBPTitle"/>
    <w:basedOn w:val="AOFPBP"/>
    <w:rsid w:val="00040CD1"/>
    <w:rPr>
      <w:b/>
      <w:caps/>
    </w:rPr>
  </w:style>
  <w:style w:type="paragraph" w:customStyle="1" w:styleId="AOBPTxtC">
    <w:name w:val="AOBPTxtC"/>
    <w:basedOn w:val="AOFPBP"/>
    <w:rsid w:val="00040CD1"/>
  </w:style>
  <w:style w:type="paragraph" w:customStyle="1" w:styleId="AOBPTxtL">
    <w:name w:val="AOBPTxtL"/>
    <w:basedOn w:val="AOFPBP"/>
    <w:rsid w:val="00040CD1"/>
    <w:pPr>
      <w:jc w:val="left"/>
    </w:pPr>
  </w:style>
  <w:style w:type="paragraph" w:customStyle="1" w:styleId="AOBPTxtR">
    <w:name w:val="AOBPTxtR"/>
    <w:basedOn w:val="AOFPBP"/>
    <w:rsid w:val="00040CD1"/>
    <w:pPr>
      <w:jc w:val="right"/>
    </w:pPr>
  </w:style>
  <w:style w:type="paragraph" w:customStyle="1" w:styleId="AOLocation">
    <w:name w:val="AOLocation"/>
    <w:basedOn w:val="AOFPBP"/>
    <w:rsid w:val="00040CD1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040CD1"/>
    <w:rPr>
      <w:caps/>
    </w:rPr>
  </w:style>
  <w:style w:type="paragraph" w:customStyle="1" w:styleId="AOFPTitle">
    <w:name w:val="AOFPTitle"/>
    <w:basedOn w:val="AOFPTxt"/>
    <w:rsid w:val="00040CD1"/>
    <w:rPr>
      <w:caps/>
      <w:sz w:val="32"/>
    </w:rPr>
  </w:style>
  <w:style w:type="paragraph" w:customStyle="1" w:styleId="AOFPDate">
    <w:name w:val="AOFPDate"/>
    <w:basedOn w:val="AOFPTxt"/>
    <w:rsid w:val="00040CD1"/>
    <w:rPr>
      <w:caps/>
    </w:rPr>
  </w:style>
  <w:style w:type="paragraph" w:customStyle="1" w:styleId="AOFPCopyright">
    <w:name w:val="AOFPCopyright"/>
    <w:basedOn w:val="AOFPTxt"/>
    <w:rsid w:val="00040CD1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040CD1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040CD1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040CD1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040CD1"/>
    <w:rPr>
      <w:sz w:val="20"/>
    </w:rPr>
  </w:style>
  <w:style w:type="paragraph" w:customStyle="1" w:styleId="AONormal8L">
    <w:name w:val="AONormal8L"/>
    <w:basedOn w:val="AONormal"/>
    <w:rsid w:val="00040CD1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040CD1"/>
    <w:rPr>
      <w:b/>
    </w:rPr>
  </w:style>
  <w:style w:type="paragraph" w:customStyle="1" w:styleId="AONormal8C">
    <w:name w:val="AONormal8C"/>
    <w:basedOn w:val="AONormal8L"/>
    <w:rsid w:val="00040CD1"/>
    <w:pPr>
      <w:jc w:val="center"/>
    </w:pPr>
  </w:style>
  <w:style w:type="paragraph" w:customStyle="1" w:styleId="AONormal8R">
    <w:name w:val="AONormal8R"/>
    <w:basedOn w:val="AONormal8L"/>
    <w:rsid w:val="00040CD1"/>
    <w:pPr>
      <w:jc w:val="right"/>
    </w:pPr>
  </w:style>
  <w:style w:type="paragraph" w:customStyle="1" w:styleId="AONormalBold">
    <w:name w:val="AONormalBold"/>
    <w:basedOn w:val="AONormal"/>
    <w:rsid w:val="00040CD1"/>
    <w:rPr>
      <w:b/>
    </w:rPr>
  </w:style>
  <w:style w:type="paragraph" w:customStyle="1" w:styleId="AONormal6L">
    <w:name w:val="AONormal6L"/>
    <w:basedOn w:val="AONormal8L"/>
    <w:rsid w:val="00040CD1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040CD1"/>
    <w:pPr>
      <w:jc w:val="center"/>
    </w:pPr>
  </w:style>
  <w:style w:type="paragraph" w:customStyle="1" w:styleId="AONormal6R">
    <w:name w:val="AONormal6R"/>
    <w:basedOn w:val="AONormal6L"/>
    <w:rsid w:val="00040CD1"/>
    <w:pPr>
      <w:jc w:val="right"/>
    </w:pPr>
  </w:style>
  <w:style w:type="paragraph" w:customStyle="1" w:styleId="AOTitle18">
    <w:name w:val="AOTitle18"/>
    <w:basedOn w:val="AONormal"/>
    <w:rsid w:val="00040CD1"/>
    <w:rPr>
      <w:b/>
      <w:sz w:val="36"/>
    </w:rPr>
  </w:style>
  <w:style w:type="paragraph" w:customStyle="1" w:styleId="AOSignatory">
    <w:name w:val="AOSignatory"/>
    <w:basedOn w:val="AOBodyTxt"/>
    <w:next w:val="AODocTxt"/>
    <w:rsid w:val="00040CD1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040CD1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040CD1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unhideWhenUsed/>
    <w:rsid w:val="00040CD1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CD1"/>
    <w:rPr>
      <w:rFonts w:ascii="Times New Roman" w:eastAsia="Calibri" w:hAnsi="Times New Roman" w:cs="Times New Roman"/>
      <w:sz w:val="16"/>
      <w:szCs w:val="20"/>
      <w:lang w:val="en-GB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040CD1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CD1"/>
    <w:rPr>
      <w:rFonts w:ascii="Times New Roman" w:eastAsia="Calibri" w:hAnsi="Times New Roman" w:cs="Times New Roman"/>
      <w:sz w:val="16"/>
      <w:szCs w:val="20"/>
      <w:lang w:val="en-GB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040CD1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040CD1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040CD1"/>
    <w:pPr>
      <w:spacing w:after="0" w:line="240" w:lineRule="auto"/>
      <w:ind w:left="2880"/>
    </w:pPr>
    <w:rPr>
      <w:rFonts w:ascii="Times New Roman" w:eastAsia="Times New Roman" w:hAnsi="Times New Roman" w:cs="Times New Roman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04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OListNumber">
    <w:name w:val="AOListNumber"/>
    <w:basedOn w:val="AOBodyTxt"/>
    <w:rsid w:val="00040CD1"/>
    <w:pPr>
      <w:numPr>
        <w:numId w:val="32"/>
      </w:numPr>
      <w:tabs>
        <w:tab w:val="clear" w:pos="720"/>
      </w:tabs>
    </w:pPr>
  </w:style>
  <w:style w:type="character" w:styleId="PlaceholderText">
    <w:name w:val="Placeholder Text"/>
    <w:uiPriority w:val="99"/>
    <w:semiHidden/>
    <w:rsid w:val="00040CD1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040C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040CD1"/>
    <w:rPr>
      <w:vertAlign w:val="superscript"/>
    </w:rPr>
  </w:style>
  <w:style w:type="character" w:customStyle="1" w:styleId="DocID">
    <w:name w:val="DocID"/>
    <w:rsid w:val="00040CD1"/>
    <w:rPr>
      <w:rFonts w:ascii="Arial" w:hAnsi="Arial" w:cs="Arial"/>
      <w:b w:val="0"/>
      <w:i w:val="0"/>
      <w:caps w:val="0"/>
      <w:noProof/>
      <w:vanish w:val="0"/>
      <w:color w:val="000000"/>
      <w:sz w:val="12"/>
      <w:u w:val="none"/>
      <w:lang w:eastAsia="en-GB"/>
    </w:rPr>
  </w:style>
  <w:style w:type="character" w:styleId="CommentReference">
    <w:name w:val="annotation reference"/>
    <w:uiPriority w:val="99"/>
    <w:semiHidden/>
    <w:unhideWhenUsed/>
    <w:rsid w:val="00040CD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D1"/>
    <w:rPr>
      <w:rFonts w:ascii="Times New Roman" w:eastAsia="Calibri" w:hAnsi="Times New Roman" w:cs="Times New Roman"/>
      <w:b/>
      <w:bCs/>
      <w:sz w:val="16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040CD1"/>
    <w:rPr>
      <w:vertAlign w:val="superscript"/>
    </w:rPr>
  </w:style>
  <w:style w:type="paragraph" w:customStyle="1" w:styleId="doc-ti">
    <w:name w:val="doc-ti"/>
    <w:basedOn w:val="Normal"/>
    <w:rsid w:val="0004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lqj4b">
    <w:name w:val="jlqj4b"/>
    <w:basedOn w:val="DefaultParagraphFont"/>
    <w:rsid w:val="00040CD1"/>
  </w:style>
  <w:style w:type="paragraph" w:customStyle="1" w:styleId="oj-normal">
    <w:name w:val="oj-normal"/>
    <w:basedOn w:val="Normal"/>
    <w:rsid w:val="0004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bl-hdr">
    <w:name w:val="oj-tbl-hdr"/>
    <w:basedOn w:val="Normal"/>
    <w:rsid w:val="0004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bl-num">
    <w:name w:val="oj-tbl-num"/>
    <w:basedOn w:val="Normal"/>
    <w:rsid w:val="0004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bl-txt">
    <w:name w:val="oj-tbl-txt"/>
    <w:basedOn w:val="Normal"/>
    <w:rsid w:val="0004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40C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328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DB6976"/>
  </w:style>
  <w:style w:type="numbering" w:customStyle="1" w:styleId="NoList2">
    <w:name w:val="No List2"/>
    <w:next w:val="NoList"/>
    <w:uiPriority w:val="99"/>
    <w:semiHidden/>
    <w:unhideWhenUsed/>
    <w:rsid w:val="00DB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3B5C-050B-4F59-A2FB-004F854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6054</Words>
  <Characters>34512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Basarab Dan Guzun (23383)</dc:creator>
  <cp:keywords/>
  <dc:description/>
  <cp:lastModifiedBy>Mihai Stroiny</cp:lastModifiedBy>
  <cp:revision>2</cp:revision>
  <cp:lastPrinted>2020-09-11T08:29:00Z</cp:lastPrinted>
  <dcterms:created xsi:type="dcterms:W3CDTF">2023-09-19T09:52:00Z</dcterms:created>
  <dcterms:modified xsi:type="dcterms:W3CDTF">2023-09-19T09:52:00Z</dcterms:modified>
</cp:coreProperties>
</file>